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9" w:rsidRPr="006B65B9" w:rsidRDefault="006B65B9" w:rsidP="004E37AD">
      <w:pPr>
        <w:pStyle w:val="Heading1"/>
        <w:spacing w:before="0" w:after="2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65B9">
        <w:rPr>
          <w:rFonts w:ascii="Arial" w:hAnsi="Arial" w:cs="Arial"/>
          <w:sz w:val="24"/>
          <w:szCs w:val="24"/>
        </w:rPr>
        <w:t>MINIMUM EFFICIENCY REQUIREMENTS TABLES FOR HEATING AND COOLING PRODUCT CATEGORIES</w:t>
      </w:r>
    </w:p>
    <w:p w:rsidR="006B65B9" w:rsidRDefault="006B65B9" w:rsidP="004E37AD">
      <w:pPr>
        <w:spacing w:after="240"/>
        <w:rPr>
          <w:rFonts w:ascii="Arial" w:hAnsi="Arial" w:cs="Arial"/>
          <w:sz w:val="20"/>
          <w:szCs w:val="20"/>
        </w:rPr>
      </w:pPr>
      <w:r w:rsidRPr="006B65B9">
        <w:rPr>
          <w:rFonts w:ascii="Arial" w:hAnsi="Arial" w:cs="Arial"/>
          <w:sz w:val="20"/>
          <w:szCs w:val="20"/>
        </w:rPr>
        <w:t xml:space="preserve">The Federal Energy Management Program (FEMP) created tables that mirror American Society of Heating, Refrigerating and Air-Conditioning Engineers </w:t>
      </w:r>
      <w:r>
        <w:rPr>
          <w:rFonts w:ascii="Arial" w:hAnsi="Arial" w:cs="Arial"/>
          <w:sz w:val="20"/>
          <w:szCs w:val="20"/>
        </w:rPr>
        <w:t>(ASHRAE) 90.1-2013 tables,</w:t>
      </w:r>
      <w:r w:rsidRPr="006B65B9">
        <w:rPr>
          <w:rFonts w:ascii="Arial" w:hAnsi="Arial" w:cs="Arial"/>
          <w:sz w:val="20"/>
          <w:szCs w:val="20"/>
        </w:rPr>
        <w:t xml:space="preserve"> which include minimum efficiency requirements for FEMP-designated and ENERGY STAR-qualified heating and cooling product categories.</w:t>
      </w:r>
    </w:p>
    <w:p w:rsidR="004E37AD" w:rsidRPr="006B65B9" w:rsidRDefault="006B65B9" w:rsidP="004E37AD">
      <w:pPr>
        <w:spacing w:after="240"/>
        <w:rPr>
          <w:rFonts w:ascii="Arial" w:hAnsi="Arial" w:cs="Arial"/>
          <w:b/>
          <w:sz w:val="20"/>
          <w:szCs w:val="20"/>
        </w:rPr>
      </w:pPr>
      <w:r w:rsidRPr="006B65B9">
        <w:rPr>
          <w:rFonts w:ascii="Arial" w:hAnsi="Arial" w:cs="Arial"/>
          <w:b/>
          <w:sz w:val="20"/>
          <w:szCs w:val="20"/>
        </w:rPr>
        <w:t>Air-Source Heat Pumps (Residential), Central Air Conditioners (Residential), Geothe</w:t>
      </w:r>
      <w:r>
        <w:rPr>
          <w:rFonts w:ascii="Arial" w:hAnsi="Arial" w:cs="Arial"/>
          <w:b/>
          <w:sz w:val="20"/>
          <w:szCs w:val="20"/>
        </w:rPr>
        <w:t>rmal Heat Pumps (Residential), and Light Commercial Heating a</w:t>
      </w:r>
      <w:r w:rsidRPr="006B65B9">
        <w:rPr>
          <w:rFonts w:ascii="Arial" w:hAnsi="Arial" w:cs="Arial"/>
          <w:b/>
          <w:sz w:val="20"/>
          <w:szCs w:val="20"/>
        </w:rPr>
        <w:t>nd Cooling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382"/>
        <w:gridCol w:w="1306"/>
        <w:gridCol w:w="1738"/>
        <w:gridCol w:w="2206"/>
      </w:tblGrid>
      <w:tr w:rsidR="004E37AD" w:rsidRPr="006E5013" w:rsidTr="00D81D3F">
        <w:trPr>
          <w:trHeight w:val="300"/>
        </w:trPr>
        <w:tc>
          <w:tcPr>
            <w:tcW w:w="1317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Electrically Operated Unitary Heat Pumps: Minimum Efficiency Requirements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3300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Size Category</w:t>
            </w:r>
          </w:p>
        </w:tc>
        <w:tc>
          <w:tcPr>
            <w:tcW w:w="1768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Heating Section Type</w:t>
            </w:r>
          </w:p>
        </w:tc>
        <w:tc>
          <w:tcPr>
            <w:tcW w:w="2383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3049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Air-cooled (cooling mode)</w:t>
            </w:r>
          </w:p>
        </w:tc>
        <w:tc>
          <w:tcPr>
            <w:tcW w:w="3300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&lt;65,000 Btu/h</w:t>
            </w:r>
          </w:p>
        </w:tc>
        <w:tc>
          <w:tcPr>
            <w:tcW w:w="1768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</w:t>
            </w: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 SEER; 11 EER; 8.2 HSPF (three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14.5 SEER; 12 EER; 8.2 HSPF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Single package</w:t>
            </w: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 SEER; 11 EER; 8.0 HSPF (three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 SEER; 11 EER; 8.0 HSPF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≥65,000 Btu/h and &lt;135,000 Btu/h</w:t>
            </w:r>
          </w:p>
        </w:tc>
        <w:tc>
          <w:tcPr>
            <w:tcW w:w="1768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238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11.3 EER; 11.4 IEER; 3.35 COP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≥135,000 Btu/h and &lt;240,000 Btu/h</w:t>
            </w:r>
          </w:p>
        </w:tc>
        <w:tc>
          <w:tcPr>
            <w:tcW w:w="1768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238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10.9 EER; 11 IEER; 3.25 COP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vMerge/>
            <w:vAlign w:val="center"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≥240,000 Btu/h</w:t>
            </w:r>
            <w:r w:rsidRPr="006E501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68" w:type="dxa"/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2383" w:type="dxa"/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049" w:type="dxa"/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9.5 EER; 10.6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closed loop water-to-air</w:t>
            </w:r>
          </w:p>
        </w:tc>
        <w:tc>
          <w:tcPr>
            <w:tcW w:w="3300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17.1 EER; 3.6 COP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open loop water-to-air</w:t>
            </w:r>
          </w:p>
        </w:tc>
        <w:tc>
          <w:tcPr>
            <w:tcW w:w="3300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21.1 EER; 4.1 COP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closed loop water-to-water</w:t>
            </w:r>
          </w:p>
        </w:tc>
        <w:tc>
          <w:tcPr>
            <w:tcW w:w="3300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16.1; 3.1 COP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open loop water-to-water</w:t>
            </w:r>
          </w:p>
        </w:tc>
        <w:tc>
          <w:tcPr>
            <w:tcW w:w="3300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20.1; 3.5 COP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267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DGX</w:t>
            </w:r>
          </w:p>
        </w:tc>
        <w:tc>
          <w:tcPr>
            <w:tcW w:w="3300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16.0 EER; 3.6 COP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13176" w:type="dxa"/>
            <w:gridSpan w:val="5"/>
          </w:tcPr>
          <w:p w:rsidR="004E37AD" w:rsidRPr="006E5013" w:rsidRDefault="004E37AD" w:rsidP="002077B5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501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 w:rsidRPr="006E5013">
              <w:rPr>
                <w:rFonts w:ascii="Arial" w:hAnsi="Arial" w:cs="Arial"/>
                <w:sz w:val="20"/>
                <w:szCs w:val="20"/>
              </w:rPr>
              <w:t xml:space="preserve"> Heat pumps with size equal to or greater than 240,000 Btu/h are not covered by federal purchasing requirements. Minimum efficiency presented is consistent with ASRHAE 90.1-2013.</w:t>
            </w:r>
          </w:p>
        </w:tc>
      </w:tr>
    </w:tbl>
    <w:p w:rsidR="006E5013" w:rsidRPr="00127D01" w:rsidRDefault="006E5013" w:rsidP="004E37AD">
      <w:pPr>
        <w:ind w:left="-90"/>
        <w:rPr>
          <w:rFonts w:ascii="Arial" w:hAnsi="Arial" w:cs="Arial"/>
          <w:b/>
          <w:sz w:val="20"/>
          <w:szCs w:val="20"/>
        </w:rPr>
      </w:pPr>
      <w:r w:rsidRPr="00127D01">
        <w:rPr>
          <w:rFonts w:ascii="Arial" w:hAnsi="Arial" w:cs="Arial"/>
          <w:b/>
          <w:sz w:val="20"/>
          <w:szCs w:val="20"/>
        </w:rPr>
        <w:br w:type="page"/>
      </w:r>
    </w:p>
    <w:p w:rsidR="004E37AD" w:rsidRPr="006B65B9" w:rsidRDefault="006B65B9" w:rsidP="006E5013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Central Air Conditioners and Light Commercial Heating a</w:t>
      </w:r>
      <w:r w:rsidRPr="006B65B9">
        <w:rPr>
          <w:rFonts w:ascii="Arial" w:hAnsi="Arial" w:cs="Arial"/>
          <w:b/>
          <w:sz w:val="20"/>
          <w:szCs w:val="20"/>
        </w:rPr>
        <w:t>nd Cooling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163"/>
        <w:gridCol w:w="1322"/>
        <w:gridCol w:w="1459"/>
        <w:gridCol w:w="2384"/>
      </w:tblGrid>
      <w:tr w:rsidR="004E37AD" w:rsidRPr="006E5013" w:rsidTr="00D81D3F">
        <w:trPr>
          <w:trHeight w:val="300"/>
        </w:trPr>
        <w:tc>
          <w:tcPr>
            <w:tcW w:w="1317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Electrically Operated Unitary Air Conditioners: Minimum Efficiency Requirements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Equipment Type</w:t>
            </w:r>
          </w:p>
        </w:tc>
        <w:tc>
          <w:tcPr>
            <w:tcW w:w="2988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Size Category</w:t>
            </w:r>
          </w:p>
        </w:tc>
        <w:tc>
          <w:tcPr>
            <w:tcW w:w="1791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Heating Section Type</w:t>
            </w:r>
          </w:p>
        </w:tc>
        <w:tc>
          <w:tcPr>
            <w:tcW w:w="1986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Subcategory or Rating Condition</w:t>
            </w:r>
          </w:p>
        </w:tc>
        <w:tc>
          <w:tcPr>
            <w:tcW w:w="3303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Minimum Efficiency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Air conditioners, air-cooled</w:t>
            </w:r>
          </w:p>
        </w:tc>
        <w:tc>
          <w:tcPr>
            <w:tcW w:w="2988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&lt;65,000 Btu/h</w:t>
            </w:r>
          </w:p>
        </w:tc>
        <w:tc>
          <w:tcPr>
            <w:tcW w:w="1791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986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14.5 SEER and 12 EER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 SEER and 12 EER (three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 SEER and 11 EER (single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14 SEER and 11 EER (three phase)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≥65,000 Btu/h and &lt;135,000 Btu/h</w:t>
            </w: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11.7 EER and 11.8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11.5 EER and 11.6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≥135,000 Btu/h and &lt;240,000 Btu/h</w:t>
            </w: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11.7 EER and 11.8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11.5 and 11.6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≥240,000 Btu/h and &lt;760,000 Btu/h</w:t>
            </w:r>
            <w:r w:rsidRPr="006E501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12.4 EER and 13.6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12.2 EER and 13.4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≥760,000 Btu/h</w:t>
            </w:r>
            <w:r w:rsidRPr="006E501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12.2 EER and 13.5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3108" w:type="dxa"/>
            <w:vMerge/>
            <w:hideMark/>
          </w:tcPr>
          <w:p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986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3303" w:type="dxa"/>
            <w:noWrap/>
            <w:vAlign w:val="center"/>
            <w:hideMark/>
          </w:tcPr>
          <w:p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12.0 EER and 13.3 IEER</w:t>
            </w:r>
          </w:p>
        </w:tc>
      </w:tr>
      <w:tr w:rsidR="004E37AD" w:rsidRPr="006E5013" w:rsidTr="00D81D3F">
        <w:trPr>
          <w:trHeight w:val="300"/>
        </w:trPr>
        <w:tc>
          <w:tcPr>
            <w:tcW w:w="13176" w:type="dxa"/>
            <w:gridSpan w:val="5"/>
          </w:tcPr>
          <w:p w:rsidR="004E37AD" w:rsidRPr="006E5013" w:rsidRDefault="004E37AD" w:rsidP="002077B5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E501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Pr="006E5013">
              <w:rPr>
                <w:rFonts w:ascii="Arial" w:hAnsi="Arial" w:cs="Arial"/>
                <w:sz w:val="20"/>
                <w:szCs w:val="20"/>
              </w:rPr>
              <w:t xml:space="preserve"> Air conditioners with size equal to or greater than 240,000 Btu/h are not covered by federal purchasing requirements. Minimum efficiency presented is consistent with ASRHAE 90.1-2013.</w:t>
            </w:r>
          </w:p>
        </w:tc>
      </w:tr>
    </w:tbl>
    <w:p w:rsidR="00836C94" w:rsidRDefault="00836C94">
      <w:pPr>
        <w:rPr>
          <w:rFonts w:ascii="Arial" w:hAnsi="Arial" w:cs="Arial"/>
          <w:sz w:val="20"/>
          <w:szCs w:val="20"/>
        </w:rPr>
      </w:pPr>
    </w:p>
    <w:p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Boilers (Residential) a</w:t>
      </w:r>
      <w:r w:rsidRPr="00904F55">
        <w:rPr>
          <w:rFonts w:ascii="Arial" w:hAnsi="Arial" w:cs="Arial"/>
          <w:b/>
          <w:sz w:val="20"/>
          <w:szCs w:val="20"/>
        </w:rPr>
        <w:t>nd Boilers (Commercial)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2320"/>
        <w:gridCol w:w="2153"/>
        <w:gridCol w:w="2153"/>
        <w:gridCol w:w="1486"/>
      </w:tblGrid>
      <w:tr w:rsidR="006B65B9" w:rsidRPr="00A03302" w:rsidTr="00D81D3F">
        <w:trPr>
          <w:trHeight w:val="300"/>
        </w:trPr>
        <w:tc>
          <w:tcPr>
            <w:tcW w:w="1317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Gas- and Oil-Fired Boilers: Minimum Efficiency Requirements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321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297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297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Efficiency Metric</w:t>
            </w:r>
          </w:p>
        </w:tc>
        <w:tc>
          <w:tcPr>
            <w:tcW w:w="202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Boilers, hot water</w:t>
            </w:r>
          </w:p>
        </w:tc>
        <w:tc>
          <w:tcPr>
            <w:tcW w:w="3212" w:type="dxa"/>
            <w:vMerge w:val="restart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9</w:t>
            </w:r>
            <w:r w:rsidR="00D81D3F">
              <w:rPr>
                <w:rFonts w:ascii="Arial" w:hAnsi="Arial" w:cs="Arial"/>
                <w:sz w:val="20"/>
                <w:szCs w:val="20"/>
              </w:rPr>
              <w:t>5</w:t>
            </w:r>
            <w:r w:rsidRPr="00A03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 w:val="restart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Oil-fired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 xml:space="preserve">≥300,000 Btu/h and </w:t>
            </w:r>
            <w:r w:rsidR="00D81D3F" w:rsidRPr="00A03302">
              <w:rPr>
                <w:rFonts w:ascii="Arial" w:hAnsi="Arial" w:cs="Arial"/>
                <w:sz w:val="20"/>
                <w:szCs w:val="20"/>
              </w:rPr>
              <w:t>≤</w:t>
            </w:r>
            <w:r w:rsidRPr="00A03302">
              <w:rPr>
                <w:rFonts w:ascii="Arial" w:hAnsi="Arial" w:cs="Arial"/>
                <w:sz w:val="20"/>
                <w:szCs w:val="20"/>
              </w:rPr>
              <w:t>2,500,000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85.5%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</w:t>
            </w:r>
            <w:r w:rsidR="00D81D3F">
              <w:rPr>
                <w:rFonts w:ascii="Arial" w:hAnsi="Arial" w:cs="Arial"/>
                <w:sz w:val="20"/>
                <w:szCs w:val="20"/>
              </w:rPr>
              <w:t>6</w:t>
            </w:r>
            <w:r w:rsidRPr="00A03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 w:val="restart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Boilers, steam</w:t>
            </w:r>
          </w:p>
        </w:tc>
        <w:tc>
          <w:tcPr>
            <w:tcW w:w="3212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 w:val="restart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 (all, except natural draft)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</w:t>
            </w:r>
            <w:r w:rsidR="00D81D3F">
              <w:rPr>
                <w:rFonts w:ascii="Arial" w:hAnsi="Arial" w:cs="Arial"/>
                <w:sz w:val="20"/>
                <w:szCs w:val="20"/>
              </w:rPr>
              <w:t>1</w:t>
            </w:r>
            <w:r w:rsidRPr="00A03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</w:t>
            </w:r>
            <w:r w:rsidR="00D81D3F">
              <w:rPr>
                <w:rFonts w:ascii="Arial" w:hAnsi="Arial" w:cs="Arial"/>
                <w:sz w:val="20"/>
                <w:szCs w:val="20"/>
              </w:rPr>
              <w:t>3</w:t>
            </w:r>
            <w:r w:rsidRPr="00A03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79%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 w:val="restart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Gas-fired, natural draft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</w:t>
            </w:r>
            <w:r w:rsidR="00D81D3F">
              <w:rPr>
                <w:rFonts w:ascii="Arial" w:hAnsi="Arial" w:cs="Arial"/>
                <w:sz w:val="20"/>
                <w:szCs w:val="20"/>
              </w:rPr>
              <w:t>1</w:t>
            </w:r>
            <w:r w:rsidRPr="00A03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</w:t>
            </w:r>
            <w:r w:rsidR="00D81D3F">
              <w:rPr>
                <w:rFonts w:ascii="Arial" w:hAnsi="Arial" w:cs="Arial"/>
                <w:sz w:val="20"/>
                <w:szCs w:val="20"/>
              </w:rPr>
              <w:t>3</w:t>
            </w:r>
            <w:r w:rsidRPr="00A03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 w:val="restart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Oil-fired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</w:t>
            </w:r>
            <w:r w:rsidR="00D81D3F">
              <w:rPr>
                <w:rFonts w:ascii="Arial" w:hAnsi="Arial" w:cs="Arial"/>
                <w:sz w:val="20"/>
                <w:szCs w:val="20"/>
              </w:rPr>
              <w:t>4</w:t>
            </w:r>
            <w:r w:rsidRPr="00A03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</w:t>
            </w:r>
            <w:r w:rsidR="00D81D3F">
              <w:rPr>
                <w:rFonts w:ascii="Arial" w:hAnsi="Arial" w:cs="Arial"/>
                <w:sz w:val="20"/>
                <w:szCs w:val="20"/>
              </w:rPr>
              <w:t>5</w:t>
            </w:r>
            <w:r w:rsidRPr="00A03302">
              <w:rPr>
                <w:rFonts w:ascii="Arial" w:hAnsi="Arial" w:cs="Arial"/>
                <w:sz w:val="20"/>
                <w:szCs w:val="20"/>
              </w:rPr>
              <w:t>.5%</w:t>
            </w:r>
          </w:p>
        </w:tc>
      </w:tr>
      <w:tr w:rsidR="006B65B9" w:rsidRPr="00A03302" w:rsidTr="00D81D3F">
        <w:trPr>
          <w:trHeight w:val="300"/>
        </w:trPr>
        <w:tc>
          <w:tcPr>
            <w:tcW w:w="1992" w:type="dxa"/>
            <w:vMerge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vMerge/>
            <w:hideMark/>
          </w:tcPr>
          <w:p w:rsidR="006B65B9" w:rsidRPr="00A03302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024" w:type="dxa"/>
            <w:noWrap/>
            <w:vAlign w:val="center"/>
            <w:hideMark/>
          </w:tcPr>
          <w:p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</w:tr>
      <w:tr w:rsidR="006B65B9" w:rsidRPr="00A03302" w:rsidTr="00D81D3F">
        <w:trPr>
          <w:trHeight w:val="300"/>
        </w:trPr>
        <w:tc>
          <w:tcPr>
            <w:tcW w:w="13176" w:type="dxa"/>
            <w:gridSpan w:val="5"/>
          </w:tcPr>
          <w:p w:rsidR="006B65B9" w:rsidRPr="00A03302" w:rsidRDefault="006B65B9" w:rsidP="002077B5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 w:rsidRPr="00A03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Thermal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</w:rPr>
              <w:t>fficieny</w:t>
            </w:r>
            <w:proofErr w:type="spellEnd"/>
            <w:r w:rsidRPr="00A03302"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A0330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A03302"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Hydronics</w:t>
            </w:r>
            <w:proofErr w:type="spellEnd"/>
            <w:r w:rsidRPr="00A03302">
              <w:rPr>
                <w:rFonts w:ascii="Arial" w:hAnsi="Arial" w:cs="Arial"/>
                <w:sz w:val="20"/>
                <w:szCs w:val="20"/>
              </w:rPr>
              <w:t xml:space="preserve"> Institute, Method to Determine Efficiency of Commercial Space Heating Boilers (HI BTS-2000, Rev. 06.07).</w:t>
            </w:r>
          </w:p>
          <w:p w:rsidR="006B65B9" w:rsidRPr="00A03302" w:rsidRDefault="006B65B9" w:rsidP="002077B5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A03302">
              <w:rPr>
                <w:rFonts w:ascii="Arial" w:hAnsi="Arial" w:cs="Arial"/>
                <w:sz w:val="20"/>
                <w:szCs w:val="20"/>
              </w:rPr>
              <w:t xml:space="preserve"> Boilers with input greater than 10,000,000 Btu/h are not covered by federal purchasing requirements. Minimum efficiency presented is consistent with ASRHAE 90.1-2013 Table 6.8.1-6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B65B9" w:rsidRPr="00AB7651" w:rsidRDefault="006B65B9" w:rsidP="006B65B9">
      <w:pPr>
        <w:rPr>
          <w:rFonts w:ascii="Arial" w:hAnsi="Arial" w:cs="Arial"/>
          <w:sz w:val="20"/>
          <w:szCs w:val="20"/>
        </w:rPr>
      </w:pPr>
    </w:p>
    <w:p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Electric Chillers, Air-Cooled a</w:t>
      </w:r>
      <w:r w:rsidRPr="00904F55">
        <w:rPr>
          <w:rFonts w:ascii="Arial" w:hAnsi="Arial" w:cs="Arial"/>
          <w:b/>
          <w:sz w:val="20"/>
          <w:szCs w:val="20"/>
        </w:rPr>
        <w:t>nd Water-Cooled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18"/>
        <w:gridCol w:w="1170"/>
        <w:gridCol w:w="931"/>
        <w:gridCol w:w="2369"/>
        <w:gridCol w:w="2388"/>
      </w:tblGrid>
      <w:tr w:rsidR="006B65B9" w:rsidRPr="00675265" w:rsidTr="00610245">
        <w:trPr>
          <w:trHeight w:val="300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Water-Chilling Packages: Minimum Efficiency Requirements</w:t>
            </w:r>
          </w:p>
        </w:tc>
      </w:tr>
      <w:tr w:rsidR="006B65B9" w:rsidRPr="00675265" w:rsidTr="00610245">
        <w:trPr>
          <w:trHeight w:val="300"/>
        </w:trPr>
        <w:tc>
          <w:tcPr>
            <w:tcW w:w="1419" w:type="pct"/>
            <w:vMerge w:val="restart"/>
            <w:tcBorders>
              <w:top w:val="nil"/>
              <w:bottom w:val="double" w:sz="4" w:space="0" w:color="auto"/>
            </w:tcBorders>
            <w:noWrap/>
            <w:vAlign w:val="center"/>
          </w:tcPr>
          <w:p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sz w:val="20"/>
                <w:szCs w:val="20"/>
              </w:rPr>
              <w:t>Equipment Type</w:t>
            </w:r>
          </w:p>
        </w:tc>
        <w:tc>
          <w:tcPr>
            <w:tcW w:w="611" w:type="pct"/>
            <w:vMerge w:val="restart"/>
            <w:tcBorders>
              <w:top w:val="nil"/>
              <w:bottom w:val="double" w:sz="4" w:space="0" w:color="auto"/>
            </w:tcBorders>
            <w:noWrap/>
            <w:vAlign w:val="center"/>
          </w:tcPr>
          <w:p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Size Category </w:t>
            </w:r>
          </w:p>
        </w:tc>
        <w:tc>
          <w:tcPr>
            <w:tcW w:w="486" w:type="pct"/>
            <w:vMerge w:val="restart"/>
            <w:tcBorders>
              <w:top w:val="nil"/>
              <w:bottom w:val="double" w:sz="4" w:space="0" w:color="auto"/>
            </w:tcBorders>
            <w:noWrap/>
            <w:vAlign w:val="center"/>
          </w:tcPr>
          <w:p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2484" w:type="pct"/>
            <w:gridSpan w:val="2"/>
            <w:tcBorders>
              <w:top w:val="single" w:sz="18" w:space="0" w:color="auto"/>
            </w:tcBorders>
            <w:noWrap/>
            <w:vAlign w:val="center"/>
          </w:tcPr>
          <w:p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6B65B9" w:rsidRPr="00675265" w:rsidTr="00610245">
        <w:trPr>
          <w:trHeight w:val="300"/>
        </w:trPr>
        <w:tc>
          <w:tcPr>
            <w:tcW w:w="1419" w:type="pct"/>
            <w:vMerge/>
            <w:tcBorders>
              <w:bottom w:val="double" w:sz="4" w:space="0" w:color="auto"/>
            </w:tcBorders>
            <w:noWrap/>
            <w:hideMark/>
          </w:tcPr>
          <w:p w:rsidR="006B65B9" w:rsidRPr="00675265" w:rsidRDefault="006B65B9" w:rsidP="002077B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double" w:sz="4" w:space="0" w:color="auto"/>
            </w:tcBorders>
            <w:noWrap/>
            <w:hideMark/>
          </w:tcPr>
          <w:p w:rsidR="006B65B9" w:rsidRPr="00675265" w:rsidRDefault="006B65B9" w:rsidP="002077B5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bottom w:val="double" w:sz="4" w:space="0" w:color="auto"/>
            </w:tcBorders>
            <w:noWrap/>
            <w:hideMark/>
          </w:tcPr>
          <w:p w:rsidR="006B65B9" w:rsidRPr="00675265" w:rsidRDefault="006B65B9" w:rsidP="002077B5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Path A (Full-Load Optimized Applications)</w:t>
            </w:r>
          </w:p>
        </w:tc>
        <w:tc>
          <w:tcPr>
            <w:tcW w:w="1247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Path B (Part-Load Optimized Applications)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Air-cooled</w:t>
            </w:r>
          </w:p>
        </w:tc>
        <w:tc>
          <w:tcPr>
            <w:tcW w:w="61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&lt;150 t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EER (Btu/W)</w:t>
            </w:r>
          </w:p>
        </w:tc>
        <w:tc>
          <w:tcPr>
            <w:tcW w:w="1237" w:type="pct"/>
            <w:tcBorders>
              <w:top w:val="double" w:sz="4" w:space="0" w:color="auto"/>
            </w:tcBorders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≥10.40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≥9.</w:t>
            </w:r>
            <w:r>
              <w:rPr>
                <w:rFonts w:ascii="Arial" w:hAnsi="Arial" w:cs="Arial"/>
                <w:sz w:val="20"/>
              </w:rPr>
              <w:t>70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7">
              <w:rPr>
                <w:rFonts w:ascii="Arial" w:hAnsi="Arial" w:cs="Arial"/>
                <w:sz w:val="20"/>
              </w:rPr>
              <w:t>≥13.69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7">
              <w:rPr>
                <w:rFonts w:ascii="Arial" w:hAnsi="Arial" w:cs="Arial"/>
                <w:sz w:val="20"/>
              </w:rPr>
              <w:t>≥15.81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Air-cooled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≥150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EER (Btu/W)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≥10.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0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≥9.</w:t>
            </w:r>
            <w:r>
              <w:rPr>
                <w:rFonts w:ascii="Arial" w:hAnsi="Arial" w:cs="Arial"/>
                <w:sz w:val="20"/>
              </w:rPr>
              <w:t>70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 w:cs="Arial"/>
                <w:sz w:val="20"/>
              </w:rPr>
              <w:t>14</w:t>
            </w:r>
            <w:r w:rsidRPr="002E58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≥1</w:t>
            </w:r>
            <w:r>
              <w:rPr>
                <w:rFonts w:ascii="Arial" w:hAnsi="Arial" w:cs="Arial"/>
                <w:sz w:val="20"/>
              </w:rPr>
              <w:t>6</w:t>
            </w:r>
            <w:r w:rsidRPr="002E58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675265">
              <w:rPr>
                <w:rFonts w:ascii="Arial" w:hAnsi="Arial" w:cs="Arial"/>
                <w:sz w:val="20"/>
                <w:szCs w:val="20"/>
              </w:rPr>
              <w:t>75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≤0.7</w:t>
            </w:r>
            <w:r>
              <w:rPr>
                <w:rFonts w:ascii="Arial" w:hAnsi="Arial" w:cs="Arial"/>
                <w:sz w:val="20"/>
              </w:rPr>
              <w:t>3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7</w:t>
            </w:r>
            <w:r w:rsidRPr="002E5892">
              <w:rPr>
                <w:rFonts w:ascii="Arial" w:hAnsi="Arial" w:cs="Arial"/>
                <w:sz w:val="20"/>
              </w:rPr>
              <w:t>8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0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≥75 t and &lt;150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≤0.7</w:t>
            </w:r>
            <w:r>
              <w:rPr>
                <w:rFonts w:ascii="Arial" w:hAnsi="Arial" w:cs="Arial"/>
                <w:sz w:val="20"/>
              </w:rPr>
              <w:t>2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≤0.7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56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49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≥150 t and &lt;300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68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4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44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675265">
              <w:rPr>
                <w:rFonts w:ascii="Arial" w:hAnsi="Arial" w:cs="Arial"/>
                <w:sz w:val="20"/>
                <w:szCs w:val="20"/>
              </w:rPr>
              <w:t>300 t and &lt;600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61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2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2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≤0.4</w:t>
            </w:r>
            <w:r>
              <w:rPr>
                <w:rFonts w:ascii="Arial" w:hAnsi="Arial" w:cs="Arial"/>
                <w:sz w:val="20"/>
              </w:rPr>
              <w:t>1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6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58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3</w:t>
            </w:r>
            <w:r w:rsidRPr="002E5892">
              <w:rPr>
                <w:rFonts w:ascii="Arial" w:hAnsi="Arial" w:cs="Arial"/>
                <w:sz w:val="20"/>
              </w:rPr>
              <w:t>8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675265">
              <w:rPr>
                <w:rFonts w:ascii="Arial" w:hAnsi="Arial" w:cs="Arial"/>
                <w:sz w:val="20"/>
                <w:szCs w:val="20"/>
              </w:rPr>
              <w:t>150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1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9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55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44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≥150 t and &lt;300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61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3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55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≥300 t and &lt;400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≤0.56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59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2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≤0.3</w:t>
            </w:r>
            <w:r>
              <w:rPr>
                <w:rFonts w:ascii="Arial" w:hAnsi="Arial" w:cs="Arial"/>
                <w:sz w:val="20"/>
              </w:rPr>
              <w:t>9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≥400 t and &lt;600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≤0.56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58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≤0.3</w:t>
            </w:r>
            <w:r>
              <w:rPr>
                <w:rFonts w:ascii="Arial" w:hAnsi="Arial" w:cs="Arial"/>
                <w:sz w:val="20"/>
              </w:rPr>
              <w:t>8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675265">
              <w:rPr>
                <w:rFonts w:ascii="Arial" w:hAnsi="Arial" w:cs="Arial"/>
                <w:sz w:val="20"/>
                <w:szCs w:val="20"/>
              </w:rPr>
              <w:t>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6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8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:rsidTr="00610245">
        <w:trPr>
          <w:trHeight w:val="300"/>
        </w:trPr>
        <w:tc>
          <w:tcPr>
            <w:tcW w:w="1419" w:type="pct"/>
            <w:vMerge/>
            <w:hideMark/>
          </w:tcPr>
          <w:p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0 IPLV</w:t>
            </w:r>
          </w:p>
        </w:tc>
        <w:tc>
          <w:tcPr>
            <w:tcW w:w="1247" w:type="pct"/>
            <w:noWrap/>
            <w:vAlign w:val="center"/>
            <w:hideMark/>
          </w:tcPr>
          <w:p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≤0.3</w:t>
            </w:r>
            <w:r>
              <w:rPr>
                <w:rFonts w:ascii="Arial" w:hAnsi="Arial" w:cs="Arial"/>
                <w:sz w:val="20"/>
              </w:rPr>
              <w:t>8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</w:tbl>
    <w:p w:rsidR="006B65B9" w:rsidRPr="00675265" w:rsidRDefault="006B65B9" w:rsidP="006B65B9">
      <w:pPr>
        <w:rPr>
          <w:rFonts w:ascii="Arial" w:hAnsi="Arial" w:cs="Arial"/>
          <w:sz w:val="20"/>
          <w:szCs w:val="20"/>
        </w:rPr>
      </w:pPr>
    </w:p>
    <w:p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65B9" w:rsidRPr="00904F55" w:rsidRDefault="002077B5" w:rsidP="006B65B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Electric Storage Water Heaters, </w:t>
      </w:r>
      <w:r w:rsidR="00904F55" w:rsidRPr="00904F55">
        <w:rPr>
          <w:rFonts w:ascii="Arial" w:hAnsi="Arial" w:cs="Arial"/>
          <w:b/>
          <w:sz w:val="20"/>
          <w:szCs w:val="20"/>
        </w:rPr>
        <w:t>Gas Storage Water Heaters, Gas Water Hea</w:t>
      </w:r>
      <w:r w:rsidR="00904F55">
        <w:rPr>
          <w:rFonts w:ascii="Arial" w:hAnsi="Arial" w:cs="Arial"/>
          <w:b/>
          <w:sz w:val="20"/>
          <w:szCs w:val="20"/>
        </w:rPr>
        <w:t>ters, a</w:t>
      </w:r>
      <w:r w:rsidR="00904F55" w:rsidRPr="00904F55">
        <w:rPr>
          <w:rFonts w:ascii="Arial" w:hAnsi="Arial" w:cs="Arial"/>
          <w:b/>
          <w:sz w:val="20"/>
          <w:szCs w:val="20"/>
        </w:rPr>
        <w:t>nd Solar Water Heaters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8"/>
        <w:gridCol w:w="2559"/>
        <w:gridCol w:w="1998"/>
        <w:gridCol w:w="3011"/>
      </w:tblGrid>
      <w:tr w:rsidR="006B65B9" w:rsidRPr="00290ED4" w:rsidTr="002077B5">
        <w:trPr>
          <w:trHeight w:val="30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Water-Heating Equipment: Performance Requirements</w:t>
            </w:r>
          </w:p>
        </w:tc>
      </w:tr>
      <w:tr w:rsidR="006B65B9" w:rsidRPr="00290ED4" w:rsidTr="002077B5">
        <w:trPr>
          <w:trHeight w:val="300"/>
        </w:trPr>
        <w:tc>
          <w:tcPr>
            <w:tcW w:w="2008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559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1998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3011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Performance Required</w:t>
            </w:r>
          </w:p>
        </w:tc>
      </w:tr>
      <w:tr w:rsidR="002077B5" w:rsidRPr="00290ED4" w:rsidTr="002077B5">
        <w:trPr>
          <w:trHeight w:val="402"/>
        </w:trPr>
        <w:tc>
          <w:tcPr>
            <w:tcW w:w="200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storage </w:t>
            </w:r>
            <w:r w:rsidRPr="00290ED4">
              <w:rPr>
                <w:rFonts w:ascii="Arial" w:hAnsi="Arial" w:cs="Arial"/>
                <w:sz w:val="20"/>
                <w:szCs w:val="20"/>
              </w:rPr>
              <w:t>water heaters</w:t>
            </w:r>
          </w:p>
        </w:tc>
        <w:tc>
          <w:tcPr>
            <w:tcW w:w="2559" w:type="dxa"/>
            <w:vMerge w:val="restart"/>
            <w:noWrap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≤24 A and ≤250 V</w:t>
            </w:r>
          </w:p>
        </w:tc>
        <w:tc>
          <w:tcPr>
            <w:tcW w:w="1998" w:type="dxa"/>
            <w:noWrap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Heat pump ≤55 gal</w:t>
            </w:r>
          </w:p>
        </w:tc>
        <w:tc>
          <w:tcPr>
            <w:tcW w:w="3011" w:type="dxa"/>
            <w:noWrap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ED4">
              <w:rPr>
                <w:rFonts w:ascii="Arial" w:hAnsi="Arial" w:cs="Arial"/>
                <w:sz w:val="20"/>
                <w:szCs w:val="20"/>
              </w:rPr>
              <w:t>EF</w:t>
            </w:r>
            <w:r w:rsidRPr="00290E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290ED4">
              <w:rPr>
                <w:rFonts w:ascii="Arial" w:hAnsi="Arial" w:cs="Arial"/>
                <w:sz w:val="20"/>
                <w:szCs w:val="20"/>
              </w:rPr>
              <w:t xml:space="preserve"> ≥2.0 and FHR ≥50 gal/h</w:t>
            </w:r>
          </w:p>
        </w:tc>
      </w:tr>
      <w:tr w:rsidR="002077B5" w:rsidRPr="00290ED4" w:rsidTr="002077B5">
        <w:trPr>
          <w:trHeight w:val="620"/>
        </w:trPr>
        <w:tc>
          <w:tcPr>
            <w:tcW w:w="2008" w:type="dxa"/>
            <w:vMerge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noWrap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Heat pump &gt;55 gal and ≤120 gal</w:t>
            </w:r>
          </w:p>
        </w:tc>
        <w:tc>
          <w:tcPr>
            <w:tcW w:w="3011" w:type="dxa"/>
            <w:noWrap/>
            <w:vAlign w:val="center"/>
            <w:hideMark/>
          </w:tcPr>
          <w:p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≥2.2 and FHR ≥50 gal/h</w:t>
            </w:r>
          </w:p>
        </w:tc>
      </w:tr>
      <w:tr w:rsidR="006B65B9" w:rsidRPr="00290ED4" w:rsidTr="002077B5">
        <w:trPr>
          <w:trHeight w:val="440"/>
        </w:trPr>
        <w:tc>
          <w:tcPr>
            <w:tcW w:w="2008" w:type="dxa"/>
            <w:vMerge w:val="restart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Gas storage water heaters</w:t>
            </w:r>
          </w:p>
        </w:tc>
        <w:tc>
          <w:tcPr>
            <w:tcW w:w="2559" w:type="dxa"/>
            <w:vMerge w:val="restart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≤75,000 Btu/h</w:t>
            </w:r>
          </w:p>
        </w:tc>
        <w:tc>
          <w:tcPr>
            <w:tcW w:w="1998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≥20 gal and ≤55 gal</w:t>
            </w:r>
          </w:p>
        </w:tc>
        <w:tc>
          <w:tcPr>
            <w:tcW w:w="3011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≥0.67 and FHR ≥67 gal/h</w:t>
            </w:r>
          </w:p>
        </w:tc>
      </w:tr>
      <w:tr w:rsidR="006B65B9" w:rsidRPr="00290ED4" w:rsidTr="002077B5">
        <w:trPr>
          <w:trHeight w:val="620"/>
        </w:trPr>
        <w:tc>
          <w:tcPr>
            <w:tcW w:w="2008" w:type="dxa"/>
            <w:vMerge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&gt;55 gal and ≤100 gal</w:t>
            </w:r>
          </w:p>
        </w:tc>
        <w:tc>
          <w:tcPr>
            <w:tcW w:w="3011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≥0.77 and FHR ≥67 gal/h</w:t>
            </w:r>
          </w:p>
        </w:tc>
      </w:tr>
      <w:tr w:rsidR="006B65B9" w:rsidRPr="00290ED4" w:rsidTr="002077B5">
        <w:trPr>
          <w:trHeight w:val="800"/>
        </w:trPr>
        <w:tc>
          <w:tcPr>
            <w:tcW w:w="2008" w:type="dxa"/>
            <w:vMerge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&gt;75,000 Btu/h</w:t>
            </w:r>
          </w:p>
        </w:tc>
        <w:tc>
          <w:tcPr>
            <w:tcW w:w="1998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&gt;100 gal and ≤140 gal</w:t>
            </w:r>
          </w:p>
        </w:tc>
        <w:tc>
          <w:tcPr>
            <w:tcW w:w="3011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TE ≥0.94 or EF ≥0.93 and SL ≤0.84 * [(input rate/800) + 100√volume)] Btu/h</w:t>
            </w:r>
          </w:p>
        </w:tc>
      </w:tr>
      <w:tr w:rsidR="006B65B9" w:rsidRPr="00290ED4" w:rsidTr="002077B5">
        <w:trPr>
          <w:trHeight w:val="710"/>
        </w:trPr>
        <w:tc>
          <w:tcPr>
            <w:tcW w:w="2008" w:type="dxa"/>
            <w:vMerge w:val="restart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Gas instantaneous water heaters</w:t>
            </w:r>
          </w:p>
        </w:tc>
        <w:tc>
          <w:tcPr>
            <w:tcW w:w="2559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≥50,000 Btu/h and &lt;200,000 Btu/h</w:t>
            </w:r>
          </w:p>
        </w:tc>
        <w:tc>
          <w:tcPr>
            <w:tcW w:w="1998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&lt;4,000 (Btu/h)/gal</w:t>
            </w:r>
          </w:p>
        </w:tc>
        <w:tc>
          <w:tcPr>
            <w:tcW w:w="3011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≥0.90 and GPM ≥2.5 over a 77-deg rise</w:t>
            </w:r>
          </w:p>
        </w:tc>
      </w:tr>
      <w:tr w:rsidR="006B65B9" w:rsidRPr="00290ED4" w:rsidTr="002077B5">
        <w:trPr>
          <w:trHeight w:val="440"/>
        </w:trPr>
        <w:tc>
          <w:tcPr>
            <w:tcW w:w="2008" w:type="dxa"/>
            <w:vMerge/>
            <w:hideMark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≥200,000 Btu/h</w:t>
            </w:r>
          </w:p>
        </w:tc>
        <w:tc>
          <w:tcPr>
            <w:tcW w:w="1998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≥4,000 (Btu/h)/gal</w:t>
            </w:r>
          </w:p>
        </w:tc>
        <w:tc>
          <w:tcPr>
            <w:tcW w:w="3011" w:type="dxa"/>
            <w:noWrap/>
            <w:vAlign w:val="center"/>
            <w:hideMark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TE ≥0.94 or EF ≥0.93</w:t>
            </w:r>
          </w:p>
        </w:tc>
      </w:tr>
      <w:tr w:rsidR="006B65B9" w:rsidRPr="00290ED4" w:rsidTr="002077B5">
        <w:trPr>
          <w:trHeight w:val="440"/>
        </w:trPr>
        <w:tc>
          <w:tcPr>
            <w:tcW w:w="2008" w:type="dxa"/>
            <w:vMerge w:val="restart"/>
            <w:vAlign w:val="center"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Solar water heaters</w:t>
            </w:r>
          </w:p>
        </w:tc>
        <w:tc>
          <w:tcPr>
            <w:tcW w:w="2559" w:type="dxa"/>
            <w:vMerge w:val="restart"/>
            <w:noWrap/>
            <w:vAlign w:val="center"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≤75,000 Btu/h</w:t>
            </w:r>
          </w:p>
        </w:tc>
        <w:tc>
          <w:tcPr>
            <w:tcW w:w="1998" w:type="dxa"/>
            <w:noWrap/>
            <w:vAlign w:val="center"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Electric backup</w:t>
            </w:r>
          </w:p>
        </w:tc>
        <w:tc>
          <w:tcPr>
            <w:tcW w:w="3011" w:type="dxa"/>
            <w:noWrap/>
            <w:vAlign w:val="center"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SEF ≥1.8</w:t>
            </w:r>
          </w:p>
        </w:tc>
      </w:tr>
      <w:tr w:rsidR="006B65B9" w:rsidRPr="00290ED4" w:rsidTr="002077B5">
        <w:trPr>
          <w:trHeight w:val="530"/>
        </w:trPr>
        <w:tc>
          <w:tcPr>
            <w:tcW w:w="2008" w:type="dxa"/>
            <w:vMerge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Merge/>
            <w:noWrap/>
            <w:vAlign w:val="center"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noWrap/>
            <w:vAlign w:val="center"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Gas backup</w:t>
            </w:r>
          </w:p>
        </w:tc>
        <w:tc>
          <w:tcPr>
            <w:tcW w:w="3011" w:type="dxa"/>
            <w:noWrap/>
            <w:vAlign w:val="center"/>
          </w:tcPr>
          <w:p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SEF ≥1.2</w:t>
            </w:r>
          </w:p>
        </w:tc>
      </w:tr>
      <w:tr w:rsidR="006B65B9" w:rsidRPr="00290ED4" w:rsidTr="002077B5">
        <w:trPr>
          <w:trHeight w:val="620"/>
        </w:trPr>
        <w:tc>
          <w:tcPr>
            <w:tcW w:w="9576" w:type="dxa"/>
            <w:gridSpan w:val="4"/>
            <w:vAlign w:val="center"/>
          </w:tcPr>
          <w:p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0E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Pr="00290ED4">
              <w:rPr>
                <w:rFonts w:ascii="Arial" w:hAnsi="Arial" w:cs="Arial"/>
                <w:sz w:val="20"/>
                <w:szCs w:val="20"/>
              </w:rPr>
              <w:t xml:space="preserve"> Energy factor (EF) is an efficiency ratio of the energy supplied in heater water divided by the energy input to the water heater.</w:t>
            </w:r>
          </w:p>
        </w:tc>
      </w:tr>
    </w:tbl>
    <w:p w:rsidR="006B65B9" w:rsidRPr="00290ED4" w:rsidRDefault="006B65B9" w:rsidP="006B65B9">
      <w:pPr>
        <w:rPr>
          <w:rFonts w:ascii="Arial" w:hAnsi="Arial" w:cs="Arial"/>
          <w:sz w:val="20"/>
          <w:szCs w:val="20"/>
        </w:rPr>
      </w:pPr>
    </w:p>
    <w:p w:rsidR="006B65B9" w:rsidRPr="00127D01" w:rsidRDefault="006B65B9" w:rsidP="006B65B9">
      <w:pPr>
        <w:rPr>
          <w:rFonts w:ascii="Arial" w:hAnsi="Arial" w:cs="Arial"/>
          <w:sz w:val="20"/>
          <w:szCs w:val="20"/>
        </w:rPr>
      </w:pPr>
    </w:p>
    <w:p w:rsidR="006B65B9" w:rsidRDefault="006B65B9" w:rsidP="006B65B9">
      <w:pPr>
        <w:pStyle w:val="Heading1"/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 w:rsidRPr="00904F55">
        <w:rPr>
          <w:rFonts w:ascii="Arial" w:hAnsi="Arial" w:cs="Arial"/>
          <w:b/>
          <w:sz w:val="20"/>
          <w:szCs w:val="20"/>
        </w:rPr>
        <w:lastRenderedPageBreak/>
        <w:t xml:space="preserve">Gas Furnaces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2"/>
        <w:gridCol w:w="1940"/>
        <w:gridCol w:w="2916"/>
        <w:gridCol w:w="2418"/>
      </w:tblGrid>
      <w:tr w:rsidR="006B65B9" w:rsidRPr="002137D4" w:rsidTr="00D81D3F">
        <w:trPr>
          <w:trHeight w:val="300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Warm-Air Furnaces: Minimum Efficiency Requirements</w:t>
            </w:r>
          </w:p>
        </w:tc>
      </w:tr>
      <w:tr w:rsidR="006B65B9" w:rsidRPr="002137D4" w:rsidTr="00D81D3F">
        <w:trPr>
          <w:trHeight w:val="300"/>
        </w:trPr>
        <w:tc>
          <w:tcPr>
            <w:tcW w:w="1420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1143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1188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1249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6B65B9" w:rsidRPr="002137D4" w:rsidTr="00D81D3F">
        <w:trPr>
          <w:trHeight w:val="300"/>
        </w:trPr>
        <w:tc>
          <w:tcPr>
            <w:tcW w:w="142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Warm-air furnace, gas fired</w:t>
            </w:r>
          </w:p>
        </w:tc>
        <w:tc>
          <w:tcPr>
            <w:tcW w:w="1143" w:type="pct"/>
            <w:vMerge w:val="restar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&lt;225,000 Btu/h</w:t>
            </w:r>
          </w:p>
        </w:tc>
        <w:tc>
          <w:tcPr>
            <w:tcW w:w="1188" w:type="pct"/>
            <w:vMerge w:val="restar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≥95.0% (U.S. North/Canada)</w:t>
            </w:r>
          </w:p>
        </w:tc>
      </w:tr>
      <w:tr w:rsidR="006B65B9" w:rsidRPr="002137D4" w:rsidTr="00D81D3F">
        <w:trPr>
          <w:trHeight w:val="300"/>
        </w:trPr>
        <w:tc>
          <w:tcPr>
            <w:tcW w:w="1420" w:type="pct"/>
            <w:vMerge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vMerge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vMerge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≥90.0% (U.S. South)</w:t>
            </w:r>
          </w:p>
        </w:tc>
      </w:tr>
      <w:tr w:rsidR="006B65B9" w:rsidRPr="002137D4" w:rsidTr="00D81D3F">
        <w:trPr>
          <w:trHeight w:val="300"/>
        </w:trPr>
        <w:tc>
          <w:tcPr>
            <w:tcW w:w="1420" w:type="pct"/>
            <w:vMerge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≥225,000 Btu/h</w:t>
            </w:r>
            <w:r w:rsidRPr="002137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8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80% E</w:t>
            </w:r>
            <w:r w:rsidRPr="002137D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</w:tr>
      <w:tr w:rsidR="006B65B9" w:rsidRPr="002137D4" w:rsidTr="00D81D3F">
        <w:trPr>
          <w:trHeight w:val="300"/>
        </w:trPr>
        <w:tc>
          <w:tcPr>
            <w:tcW w:w="1420" w:type="pct"/>
            <w:vMerge w:val="restar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Warm-air furnace, oil fired</w:t>
            </w:r>
          </w:p>
        </w:tc>
        <w:tc>
          <w:tcPr>
            <w:tcW w:w="1143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&lt;225,000 Btu/h</w:t>
            </w:r>
          </w:p>
        </w:tc>
        <w:tc>
          <w:tcPr>
            <w:tcW w:w="1188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≥85% AFUE</w:t>
            </w:r>
          </w:p>
        </w:tc>
      </w:tr>
      <w:tr w:rsidR="006B65B9" w:rsidRPr="002137D4" w:rsidTr="00D81D3F">
        <w:trPr>
          <w:trHeight w:val="300"/>
        </w:trPr>
        <w:tc>
          <w:tcPr>
            <w:tcW w:w="1420" w:type="pct"/>
            <w:vMerge/>
            <w:hideMark/>
          </w:tcPr>
          <w:p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≥225,000 Btu/h</w:t>
            </w:r>
            <w:r w:rsidRPr="002137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8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81% E</w:t>
            </w:r>
            <w:r w:rsidRPr="002137D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</w:tr>
      <w:tr w:rsidR="006B65B9" w:rsidRPr="002137D4" w:rsidTr="00D81D3F">
        <w:trPr>
          <w:trHeight w:val="300"/>
        </w:trPr>
        <w:tc>
          <w:tcPr>
            <w:tcW w:w="5000" w:type="pct"/>
            <w:gridSpan w:val="4"/>
          </w:tcPr>
          <w:p w:rsidR="006B65B9" w:rsidRPr="002137D4" w:rsidRDefault="006B65B9" w:rsidP="002077B5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7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 w:rsidRPr="002137D4" w:rsidDel="00C4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7D4">
              <w:rPr>
                <w:rFonts w:ascii="Arial" w:hAnsi="Arial" w:cs="Arial"/>
                <w:sz w:val="20"/>
                <w:szCs w:val="20"/>
              </w:rPr>
              <w:t xml:space="preserve">Furnaces with input equal to or greater than 225,000 Btu/h are not covered by federal purchasing requirements. Minimum efficiency presented is consistent with ASRHAE 90.1-2013. </w:t>
            </w:r>
          </w:p>
        </w:tc>
      </w:tr>
    </w:tbl>
    <w:p w:rsidR="006B65B9" w:rsidRPr="002137D4" w:rsidRDefault="006B65B9" w:rsidP="006B65B9">
      <w:pPr>
        <w:rPr>
          <w:rFonts w:ascii="Arial" w:hAnsi="Arial" w:cs="Arial"/>
          <w:sz w:val="20"/>
          <w:szCs w:val="20"/>
        </w:rPr>
      </w:pPr>
    </w:p>
    <w:p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 w:rsidRPr="00904F55">
        <w:rPr>
          <w:rFonts w:ascii="Arial" w:hAnsi="Arial" w:cs="Arial"/>
          <w:b/>
          <w:sz w:val="20"/>
          <w:szCs w:val="20"/>
        </w:rPr>
        <w:lastRenderedPageBreak/>
        <w:t>Room Air Conditioners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2116"/>
        <w:gridCol w:w="1726"/>
        <w:gridCol w:w="2315"/>
      </w:tblGrid>
      <w:tr w:rsidR="006B65B9" w:rsidRPr="00596431" w:rsidTr="00D81D3F">
        <w:trPr>
          <w:trHeight w:val="300"/>
        </w:trPr>
        <w:tc>
          <w:tcPr>
            <w:tcW w:w="1300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Electrically Operated Room Air Conditioners: Minimum Efficiency Requirements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864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2320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3140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conditioners with louvered sides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&lt;6,000 Btu/h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11.2 EER and 11.0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≥6,000 Btu/h and &lt;8,000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11.2 EER and 11.0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≥8,000 Btu/h and &lt;14,000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11.3 EER and 11.2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≥14,000 Btu/h and &lt;20,000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11.2 EER and 11.1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≥20,000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9.8 EER and 9.8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 w:val="restart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conditioners without louvered sides</w:t>
            </w: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≤8,000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10.4 EER and 10.2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≥8,000 Btu/h and &lt;20,000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9.8 EER and 9.7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≥20,000 Btu/h and &lt;28,000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9.8 EER and 9.7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≥28,000,000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9.8 EER and 9.8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 w:val="restart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air-conditioner heat pumps with louvered sides</w:t>
            </w: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&lt;20,000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10.4 EER and 10.3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≥20,000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9.8 EER and 9.8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 w:val="restart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air-conditioner heat pumps without louvered sides</w:t>
            </w: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&lt;14,000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9.8 EER and 9.7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vMerge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≥14,000 Btu/h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9.2 EER and 9.1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conditioner, casement only</w:t>
            </w: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All capacities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10.0 EER and 9.9 CEER</w:t>
            </w:r>
          </w:p>
        </w:tc>
      </w:tr>
      <w:tr w:rsidR="006B65B9" w:rsidRPr="00596431" w:rsidTr="00D81D3F">
        <w:trPr>
          <w:trHeight w:val="300"/>
        </w:trPr>
        <w:tc>
          <w:tcPr>
            <w:tcW w:w="4679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conditioner, casement slider</w:t>
            </w:r>
          </w:p>
        </w:tc>
        <w:tc>
          <w:tcPr>
            <w:tcW w:w="2864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All capacities</w:t>
            </w:r>
          </w:p>
        </w:tc>
        <w:tc>
          <w:tcPr>
            <w:tcW w:w="232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0" w:type="dxa"/>
            <w:noWrap/>
            <w:vAlign w:val="center"/>
            <w:hideMark/>
          </w:tcPr>
          <w:p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10.9 EER and 10.8 CEER</w:t>
            </w:r>
          </w:p>
        </w:tc>
      </w:tr>
    </w:tbl>
    <w:p w:rsidR="006B65B9" w:rsidRPr="00596431" w:rsidRDefault="006B65B9" w:rsidP="006B65B9">
      <w:pPr>
        <w:rPr>
          <w:rFonts w:ascii="Arial" w:hAnsi="Arial" w:cs="Arial"/>
          <w:sz w:val="20"/>
          <w:szCs w:val="20"/>
        </w:rPr>
      </w:pPr>
    </w:p>
    <w:p w:rsidR="006B65B9" w:rsidRDefault="006B65B9">
      <w:pPr>
        <w:rPr>
          <w:rFonts w:ascii="Arial" w:hAnsi="Arial" w:cs="Arial"/>
          <w:sz w:val="20"/>
          <w:szCs w:val="20"/>
        </w:rPr>
      </w:pPr>
    </w:p>
    <w:sectPr w:rsidR="006B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A"/>
    <w:rsid w:val="00043796"/>
    <w:rsid w:val="000577D6"/>
    <w:rsid w:val="000E0D6A"/>
    <w:rsid w:val="00127D01"/>
    <w:rsid w:val="002077B5"/>
    <w:rsid w:val="003207AD"/>
    <w:rsid w:val="003E4D2B"/>
    <w:rsid w:val="00487A82"/>
    <w:rsid w:val="004D59EA"/>
    <w:rsid w:val="004E37AD"/>
    <w:rsid w:val="00537EEF"/>
    <w:rsid w:val="00580E84"/>
    <w:rsid w:val="00610245"/>
    <w:rsid w:val="00675445"/>
    <w:rsid w:val="00692AFA"/>
    <w:rsid w:val="006B65B9"/>
    <w:rsid w:val="006E5013"/>
    <w:rsid w:val="007C1AB1"/>
    <w:rsid w:val="00836C94"/>
    <w:rsid w:val="00842D52"/>
    <w:rsid w:val="00854DA6"/>
    <w:rsid w:val="00904F55"/>
    <w:rsid w:val="00AE0AAD"/>
    <w:rsid w:val="00D76BAA"/>
    <w:rsid w:val="00D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E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E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5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9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3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MPBodyText">
    <w:name w:val="FEMP_Body_Text"/>
    <w:link w:val="FEMPBodyTextChar"/>
    <w:qFormat/>
    <w:rsid w:val="00610245"/>
    <w:pPr>
      <w:spacing w:after="24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FEMPBodyTextChar">
    <w:name w:val="FEMP_Body_Text Char"/>
    <w:basedOn w:val="DefaultParagraphFont"/>
    <w:link w:val="FEMPBodyText"/>
    <w:rsid w:val="00610245"/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E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E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5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9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3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MPBodyText">
    <w:name w:val="FEMP_Body_Text"/>
    <w:link w:val="FEMPBodyTextChar"/>
    <w:qFormat/>
    <w:rsid w:val="00610245"/>
    <w:pPr>
      <w:spacing w:after="24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FEMPBodyTextChar">
    <w:name w:val="FEMP_Body_Text Char"/>
    <w:basedOn w:val="DefaultParagraphFont"/>
    <w:link w:val="FEMPBodyText"/>
    <w:rsid w:val="00610245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1291</Words>
  <Characters>7764</Characters>
  <Application>Microsoft Office Word</Application>
  <DocSecurity>0</DocSecurity>
  <Lines>242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Efficiency Requirements Tables for Heating and Cooling Product Categories</vt:lpstr>
    </vt:vector>
  </TitlesOfParts>
  <Company>Federal Energy Management Program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Efficiency Requirements Tables for Heating and Cooling Product Categories</dc:title>
  <dc:subject>The Federal Energy Management Program (FEMP) created tables that mirror American Society of Heating, Refrigerating and Air-Conditioning Engineers (ASHRAE) 90.1-2013 tables, which include minimum efficiency requirements for FEMP-designated and ENERGY STAR-qualified heating and cooling product categories.</dc:subject>
  <dc:creator>hblakley</dc:creator>
  <cp:keywords>October 2016; Minimum Efficiency Requirements Tables for Heating and Cooling Product Categories</cp:keywords>
  <cp:lastModifiedBy>hblakley</cp:lastModifiedBy>
  <cp:revision>4</cp:revision>
  <dcterms:created xsi:type="dcterms:W3CDTF">2016-10-11T20:20:00Z</dcterms:created>
  <dcterms:modified xsi:type="dcterms:W3CDTF">2016-10-11T20:43:00Z</dcterms:modified>
  <cp:contentStatus>Updated October 2016</cp:contentStatus>
</cp:coreProperties>
</file>