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9F" w:rsidRDefault="00416B9F" w:rsidP="00751223">
      <w:pPr>
        <w:pStyle w:val="Heading1"/>
        <w:jc w:val="center"/>
      </w:pPr>
      <w:r>
        <w:t>Supply Chain Risk Management (SCRM) ICT Supplier Risk Management Standard Definitions</w:t>
      </w:r>
    </w:p>
    <w:p w:rsidR="00416B9F" w:rsidRDefault="00404EF5" w:rsidP="00404EF5">
      <w:pPr>
        <w:rPr>
          <w:rFonts w:ascii="Times New Roman" w:hAnsi="Times New Roman" w:cs="Times New Roman"/>
          <w:sz w:val="24"/>
          <w:szCs w:val="24"/>
        </w:rPr>
      </w:pPr>
      <w:r w:rsidRPr="003200E9">
        <w:rPr>
          <w:rFonts w:ascii="Times New Roman" w:hAnsi="Times New Roman" w:cs="Times New Roman"/>
          <w:sz w:val="24"/>
          <w:szCs w:val="24"/>
        </w:rPr>
        <w:t xml:space="preserve"> </w:t>
      </w:r>
    </w:p>
    <w:tbl>
      <w:tblPr>
        <w:tblStyle w:val="TableGrid"/>
        <w:tblW w:w="12690" w:type="dxa"/>
        <w:jc w:val="center"/>
        <w:tblInd w:w="-252" w:type="dxa"/>
        <w:tblLayout w:type="fixed"/>
        <w:tblLook w:val="04A0"/>
      </w:tblPr>
      <w:tblGrid>
        <w:gridCol w:w="1160"/>
        <w:gridCol w:w="2138"/>
        <w:gridCol w:w="4352"/>
        <w:gridCol w:w="5040"/>
      </w:tblGrid>
      <w:tr w:rsidR="00416B9F" w:rsidTr="00416B9F">
        <w:trPr>
          <w:cantSplit/>
          <w:tblHeader/>
          <w:jc w:val="center"/>
        </w:trPr>
        <w:tc>
          <w:tcPr>
            <w:tcW w:w="1160" w:type="dxa"/>
            <w:shd w:val="clear" w:color="auto" w:fill="D9D9D9" w:themeFill="background1" w:themeFillShade="D9"/>
          </w:tcPr>
          <w:p w:rsidR="00416B9F" w:rsidRPr="002B77D5" w:rsidRDefault="00416B9F" w:rsidP="00C21015">
            <w:pPr>
              <w:rPr>
                <w:b/>
                <w:i/>
                <w:sz w:val="28"/>
                <w:szCs w:val="28"/>
              </w:rPr>
            </w:pPr>
            <w:r w:rsidRPr="002B77D5">
              <w:rPr>
                <w:b/>
                <w:i/>
                <w:sz w:val="28"/>
                <w:szCs w:val="28"/>
              </w:rPr>
              <w:t>Number</w:t>
            </w:r>
          </w:p>
        </w:tc>
        <w:tc>
          <w:tcPr>
            <w:tcW w:w="2138" w:type="dxa"/>
            <w:shd w:val="clear" w:color="auto" w:fill="D9D9D9" w:themeFill="background1" w:themeFillShade="D9"/>
          </w:tcPr>
          <w:p w:rsidR="00416B9F" w:rsidRPr="002B77D5" w:rsidRDefault="00416B9F" w:rsidP="00C21015">
            <w:pPr>
              <w:rPr>
                <w:b/>
                <w:i/>
                <w:sz w:val="28"/>
                <w:szCs w:val="28"/>
              </w:rPr>
            </w:pPr>
            <w:r w:rsidRPr="002B77D5">
              <w:rPr>
                <w:b/>
                <w:i/>
                <w:sz w:val="28"/>
                <w:szCs w:val="28"/>
              </w:rPr>
              <w:t>Term</w:t>
            </w:r>
          </w:p>
        </w:tc>
        <w:tc>
          <w:tcPr>
            <w:tcW w:w="4352" w:type="dxa"/>
            <w:shd w:val="clear" w:color="auto" w:fill="D9D9D9" w:themeFill="background1" w:themeFillShade="D9"/>
          </w:tcPr>
          <w:p w:rsidR="00416B9F" w:rsidRPr="002B77D5" w:rsidRDefault="00416B9F" w:rsidP="00C21015">
            <w:pPr>
              <w:rPr>
                <w:b/>
                <w:i/>
                <w:sz w:val="28"/>
                <w:szCs w:val="28"/>
              </w:rPr>
            </w:pPr>
            <w:r w:rsidRPr="002B77D5">
              <w:rPr>
                <w:b/>
                <w:i/>
                <w:sz w:val="28"/>
                <w:szCs w:val="28"/>
              </w:rPr>
              <w:t>Definition</w:t>
            </w:r>
          </w:p>
        </w:tc>
        <w:tc>
          <w:tcPr>
            <w:tcW w:w="5040" w:type="dxa"/>
            <w:shd w:val="clear" w:color="auto" w:fill="D9D9D9" w:themeFill="background1" w:themeFillShade="D9"/>
          </w:tcPr>
          <w:p w:rsidR="00416B9F" w:rsidRPr="002B77D5" w:rsidRDefault="00416B9F" w:rsidP="00C21015">
            <w:pPr>
              <w:rPr>
                <w:b/>
                <w:i/>
                <w:sz w:val="28"/>
                <w:szCs w:val="28"/>
              </w:rPr>
            </w:pPr>
            <w:r w:rsidRPr="002B77D5">
              <w:rPr>
                <w:b/>
                <w:i/>
                <w:sz w:val="28"/>
                <w:szCs w:val="28"/>
              </w:rPr>
              <w:t>Source</w:t>
            </w: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Pr="002F4287" w:rsidRDefault="00416B9F" w:rsidP="00C21015">
            <w:pPr>
              <w:rPr>
                <w:sz w:val="24"/>
                <w:szCs w:val="24"/>
              </w:rPr>
            </w:pPr>
            <w:r>
              <w:rPr>
                <w:sz w:val="24"/>
                <w:szCs w:val="24"/>
              </w:rPr>
              <w:t>Bad Actors/Malicious Actors</w:t>
            </w:r>
          </w:p>
        </w:tc>
        <w:tc>
          <w:tcPr>
            <w:tcW w:w="4352" w:type="dxa"/>
          </w:tcPr>
          <w:p w:rsidR="00416B9F" w:rsidRPr="002F4287" w:rsidRDefault="00416B9F" w:rsidP="00C21015">
            <w:pPr>
              <w:rPr>
                <w:sz w:val="24"/>
                <w:szCs w:val="24"/>
              </w:rPr>
            </w:pPr>
            <w:r>
              <w:rPr>
                <w:sz w:val="24"/>
                <w:szCs w:val="24"/>
              </w:rPr>
              <w:t>Individual, organization, or nation-state who “touch” a product, direct or indirect, to affect the management or operations of companies that may result in compromise to the information system, organization, or Nation.</w:t>
            </w:r>
          </w:p>
        </w:tc>
        <w:tc>
          <w:tcPr>
            <w:tcW w:w="5040" w:type="dxa"/>
          </w:tcPr>
          <w:p w:rsidR="00416B9F" w:rsidRPr="002F4287" w:rsidRDefault="00416B9F" w:rsidP="00C21015">
            <w:pPr>
              <w:rPr>
                <w:sz w:val="24"/>
                <w:szCs w:val="24"/>
              </w:rPr>
            </w:pPr>
            <w:r>
              <w:rPr>
                <w:sz w:val="24"/>
                <w:szCs w:val="24"/>
              </w:rPr>
              <w:t>NIST IR 7622, Notional Supply Chain Risk Management Practices for Federal Information Systems, Page 14.</w:t>
            </w: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Pr="009D4123" w:rsidRDefault="00416B9F" w:rsidP="00C21015">
            <w:pPr>
              <w:rPr>
                <w:sz w:val="24"/>
                <w:szCs w:val="24"/>
              </w:rPr>
            </w:pPr>
            <w:r w:rsidRPr="009D4123">
              <w:rPr>
                <w:sz w:val="24"/>
                <w:szCs w:val="24"/>
              </w:rPr>
              <w:t>Counterfeit</w:t>
            </w:r>
          </w:p>
        </w:tc>
        <w:tc>
          <w:tcPr>
            <w:tcW w:w="4352" w:type="dxa"/>
          </w:tcPr>
          <w:p w:rsidR="00416B9F" w:rsidRPr="009D4123" w:rsidRDefault="00F617A5" w:rsidP="00C21015">
            <w:pPr>
              <w:rPr>
                <w:sz w:val="24"/>
                <w:szCs w:val="24"/>
              </w:rPr>
            </w:pPr>
            <w:r>
              <w:rPr>
                <w:rStyle w:val="ssens"/>
                <w:rFonts w:cs="Arial"/>
                <w:sz w:val="24"/>
                <w:szCs w:val="24"/>
              </w:rPr>
              <w:t>Unauthorized modification, diversion, or unauthorized substitution of genuine parts.</w:t>
            </w:r>
          </w:p>
        </w:tc>
        <w:tc>
          <w:tcPr>
            <w:tcW w:w="5040" w:type="dxa"/>
          </w:tcPr>
          <w:p w:rsidR="00416B9F" w:rsidRPr="009D4123" w:rsidRDefault="00F617A5" w:rsidP="00F617A5">
            <w:pPr>
              <w:rPr>
                <w:sz w:val="24"/>
                <w:szCs w:val="24"/>
              </w:rPr>
            </w:pPr>
            <w:r>
              <w:rPr>
                <w:sz w:val="24"/>
                <w:szCs w:val="24"/>
              </w:rPr>
              <w:t>Key Practices and Implementation Guide for the DoD Comprehensive National Cybersecurity Initiative 11 Supply Chain Risk Management Pilot Program, Page 20.</w:t>
            </w: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Default="00416B9F" w:rsidP="00C21015">
            <w:pPr>
              <w:rPr>
                <w:sz w:val="24"/>
                <w:szCs w:val="24"/>
              </w:rPr>
            </w:pPr>
            <w:r>
              <w:rPr>
                <w:sz w:val="24"/>
                <w:szCs w:val="24"/>
              </w:rPr>
              <w:t>Critical Component</w:t>
            </w:r>
          </w:p>
        </w:tc>
        <w:tc>
          <w:tcPr>
            <w:tcW w:w="4352" w:type="dxa"/>
          </w:tcPr>
          <w:p w:rsidR="00416B9F" w:rsidRPr="005E50B4" w:rsidRDefault="00416B9F" w:rsidP="00C21015">
            <w:pPr>
              <w:rPr>
                <w:sz w:val="24"/>
                <w:szCs w:val="24"/>
              </w:rPr>
            </w:pPr>
            <w:r w:rsidRPr="005E50B4">
              <w:rPr>
                <w:sz w:val="24"/>
                <w:szCs w:val="24"/>
              </w:rPr>
              <w:t>A component which is or contains ICT, including hardware, software, and firmware, whether custom, commercial, or otherwise developed, and which delivers or protects mission critical functionality of a system or which, because of the system’s design, may introduce vulnerability to the mission critical functions of an applicable system.</w:t>
            </w:r>
          </w:p>
        </w:tc>
        <w:tc>
          <w:tcPr>
            <w:tcW w:w="5040" w:type="dxa"/>
          </w:tcPr>
          <w:p w:rsidR="00416B9F" w:rsidRPr="002F4287" w:rsidRDefault="00416B9F" w:rsidP="00C21015">
            <w:pPr>
              <w:rPr>
                <w:sz w:val="24"/>
                <w:szCs w:val="24"/>
              </w:rPr>
            </w:pPr>
            <w:r>
              <w:rPr>
                <w:sz w:val="24"/>
                <w:szCs w:val="24"/>
              </w:rPr>
              <w:t xml:space="preserve">DODI 5200.44, November 5, 2012, Glossary, Part II, Definitions, Page 11. </w:t>
            </w: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Pr="002F4287" w:rsidRDefault="00416B9F" w:rsidP="00C21015">
            <w:pPr>
              <w:rPr>
                <w:sz w:val="24"/>
                <w:szCs w:val="24"/>
              </w:rPr>
            </w:pPr>
            <w:r>
              <w:rPr>
                <w:sz w:val="24"/>
                <w:szCs w:val="24"/>
              </w:rPr>
              <w:t>Cyber Warfare</w:t>
            </w:r>
          </w:p>
        </w:tc>
        <w:tc>
          <w:tcPr>
            <w:tcW w:w="4352" w:type="dxa"/>
          </w:tcPr>
          <w:p w:rsidR="00416B9F" w:rsidRDefault="00416B9F" w:rsidP="00C21015">
            <w:pPr>
              <w:rPr>
                <w:sz w:val="24"/>
                <w:szCs w:val="24"/>
              </w:rPr>
            </w:pPr>
            <w:r>
              <w:rPr>
                <w:sz w:val="24"/>
                <w:szCs w:val="24"/>
              </w:rPr>
              <w:t>Cyber warfare involves nation-states using information technology to penetrate another nation’s networks to cause damage or disruption.</w:t>
            </w:r>
          </w:p>
        </w:tc>
        <w:tc>
          <w:tcPr>
            <w:tcW w:w="5040" w:type="dxa"/>
          </w:tcPr>
          <w:p w:rsidR="00416B9F" w:rsidRDefault="00416B9F" w:rsidP="00C21015">
            <w:r>
              <w:rPr>
                <w:sz w:val="24"/>
                <w:szCs w:val="24"/>
              </w:rPr>
              <w:t xml:space="preserve">Next-Generation Network Security, link: </w:t>
            </w:r>
            <w:hyperlink r:id="rId5" w:history="1">
              <w:r w:rsidRPr="00D50F60">
                <w:rPr>
                  <w:rStyle w:val="Hyperlink"/>
                </w:rPr>
                <w:t>http://www.paloaltonetworks.com/community/learning-center/what-is-cyber-security.html</w:t>
              </w:r>
            </w:hyperlink>
          </w:p>
          <w:p w:rsidR="00416B9F" w:rsidRDefault="00416B9F" w:rsidP="00C21015">
            <w:pPr>
              <w:rPr>
                <w:sz w:val="24"/>
                <w:szCs w:val="24"/>
              </w:rPr>
            </w:pP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Pr="002F4287" w:rsidRDefault="00416B9F" w:rsidP="00C21015">
            <w:pPr>
              <w:rPr>
                <w:sz w:val="24"/>
                <w:szCs w:val="24"/>
              </w:rPr>
            </w:pPr>
            <w:r w:rsidRPr="002F4287">
              <w:rPr>
                <w:sz w:val="24"/>
                <w:szCs w:val="24"/>
              </w:rPr>
              <w:t>ICT</w:t>
            </w:r>
            <w:r>
              <w:rPr>
                <w:sz w:val="24"/>
                <w:szCs w:val="24"/>
              </w:rPr>
              <w:t xml:space="preserve"> – Information and Communications Technology</w:t>
            </w:r>
          </w:p>
        </w:tc>
        <w:tc>
          <w:tcPr>
            <w:tcW w:w="4352" w:type="dxa"/>
          </w:tcPr>
          <w:p w:rsidR="00416B9F" w:rsidRPr="002F4287" w:rsidRDefault="00416B9F" w:rsidP="00C21015">
            <w:pPr>
              <w:rPr>
                <w:sz w:val="24"/>
                <w:szCs w:val="24"/>
              </w:rPr>
            </w:pPr>
            <w:r>
              <w:rPr>
                <w:sz w:val="24"/>
                <w:szCs w:val="24"/>
              </w:rPr>
              <w:t xml:space="preserve">Includes all categories of ubiquitous technology used for gathering, storing, transmitting, retrieving, or processing of information (e.g., microelectronics, printed circuit boards, computing systems, software, signal processors, mobile telephony, satellite communications, and networks). </w:t>
            </w:r>
          </w:p>
        </w:tc>
        <w:tc>
          <w:tcPr>
            <w:tcW w:w="5040" w:type="dxa"/>
          </w:tcPr>
          <w:p w:rsidR="00416B9F" w:rsidRPr="002F4287" w:rsidRDefault="00416B9F" w:rsidP="00C21015">
            <w:pPr>
              <w:rPr>
                <w:sz w:val="24"/>
                <w:szCs w:val="24"/>
              </w:rPr>
            </w:pPr>
            <w:r>
              <w:rPr>
                <w:sz w:val="24"/>
                <w:szCs w:val="24"/>
              </w:rPr>
              <w:t xml:space="preserve">DODI 5200.44, November 5, 2012, Glossary, Part II, Definitions, Page 12. </w:t>
            </w: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Pr="002F4287" w:rsidRDefault="00416B9F" w:rsidP="00C21015">
            <w:pPr>
              <w:rPr>
                <w:sz w:val="24"/>
                <w:szCs w:val="24"/>
              </w:rPr>
            </w:pPr>
            <w:r>
              <w:rPr>
                <w:sz w:val="24"/>
                <w:szCs w:val="24"/>
              </w:rPr>
              <w:t>ICT Supply Chain</w:t>
            </w:r>
          </w:p>
        </w:tc>
        <w:tc>
          <w:tcPr>
            <w:tcW w:w="4352" w:type="dxa"/>
          </w:tcPr>
          <w:p w:rsidR="00416B9F" w:rsidRPr="002F4287" w:rsidRDefault="00416B9F" w:rsidP="00C21015">
            <w:pPr>
              <w:rPr>
                <w:sz w:val="24"/>
                <w:szCs w:val="24"/>
              </w:rPr>
            </w:pPr>
            <w:r>
              <w:rPr>
                <w:sz w:val="24"/>
                <w:szCs w:val="24"/>
              </w:rPr>
              <w:t>Globally distributed, interconnected set of organizations, people, processes, products, and services.</w:t>
            </w:r>
          </w:p>
        </w:tc>
        <w:tc>
          <w:tcPr>
            <w:tcW w:w="5040" w:type="dxa"/>
          </w:tcPr>
          <w:p w:rsidR="00416B9F" w:rsidRPr="002F4287" w:rsidRDefault="00416B9F" w:rsidP="00C21015">
            <w:pPr>
              <w:rPr>
                <w:sz w:val="24"/>
                <w:szCs w:val="24"/>
              </w:rPr>
            </w:pPr>
            <w:r>
              <w:rPr>
                <w:sz w:val="24"/>
                <w:szCs w:val="24"/>
              </w:rPr>
              <w:t>NIST IR 7622, Notional Supply Chain Risk Management Practices for Federal Information Systems; Introduction, page 9.</w:t>
            </w: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Default="00416B9F" w:rsidP="00C21015">
            <w:pPr>
              <w:rPr>
                <w:sz w:val="24"/>
                <w:szCs w:val="24"/>
              </w:rPr>
            </w:pPr>
            <w:r>
              <w:rPr>
                <w:sz w:val="24"/>
                <w:szCs w:val="24"/>
              </w:rPr>
              <w:t>Insider Threat</w:t>
            </w:r>
          </w:p>
        </w:tc>
        <w:tc>
          <w:tcPr>
            <w:tcW w:w="4352" w:type="dxa"/>
          </w:tcPr>
          <w:p w:rsidR="00416B9F" w:rsidRPr="005643E7" w:rsidRDefault="00416B9F" w:rsidP="00C21015">
            <w:pPr>
              <w:rPr>
                <w:sz w:val="24"/>
                <w:szCs w:val="24"/>
              </w:rPr>
            </w:pPr>
            <w:r>
              <w:rPr>
                <w:sz w:val="24"/>
                <w:szCs w:val="24"/>
              </w:rPr>
              <w:t>Includes concerning behaviors such as inordinate, long-term job dissatisfaction, attempts to gain access to information not required for job performance, unexplained access to financial resources, bullying or sexual harassment of fellow colleagues, workplace violence, and other serious violations of organizational policies, procedures, directives, rules, and/or practices.</w:t>
            </w:r>
          </w:p>
        </w:tc>
        <w:tc>
          <w:tcPr>
            <w:tcW w:w="5040" w:type="dxa"/>
          </w:tcPr>
          <w:p w:rsidR="00416B9F" w:rsidRDefault="00416B9F" w:rsidP="00C21015">
            <w:pPr>
              <w:rPr>
                <w:sz w:val="24"/>
                <w:szCs w:val="24"/>
              </w:rPr>
            </w:pPr>
            <w:r>
              <w:rPr>
                <w:sz w:val="24"/>
                <w:szCs w:val="24"/>
              </w:rPr>
              <w:t xml:space="preserve">NIST SP 800-53, Security and Privacy Controls for Federal Information Systems and Organizations, Page F-32. </w:t>
            </w: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Default="00416B9F" w:rsidP="00C21015">
            <w:pPr>
              <w:rPr>
                <w:sz w:val="24"/>
                <w:szCs w:val="24"/>
              </w:rPr>
            </w:pPr>
            <w:r>
              <w:rPr>
                <w:sz w:val="24"/>
                <w:szCs w:val="24"/>
              </w:rPr>
              <w:t>Malicious hardware</w:t>
            </w:r>
          </w:p>
        </w:tc>
        <w:tc>
          <w:tcPr>
            <w:tcW w:w="4352" w:type="dxa"/>
          </w:tcPr>
          <w:p w:rsidR="00416B9F" w:rsidRPr="005643E7" w:rsidRDefault="00416B9F" w:rsidP="00C21015">
            <w:pPr>
              <w:rPr>
                <w:sz w:val="24"/>
                <w:szCs w:val="24"/>
              </w:rPr>
            </w:pPr>
            <w:r w:rsidRPr="005643E7">
              <w:rPr>
                <w:sz w:val="24"/>
                <w:szCs w:val="24"/>
              </w:rPr>
              <w:t>A virus or other malicious software</w:t>
            </w:r>
            <w:r>
              <w:rPr>
                <w:sz w:val="24"/>
                <w:szCs w:val="24"/>
              </w:rPr>
              <w:t xml:space="preserve"> that is attached to a program preloaded on a computer or external hard drive. A CPU chip in a computer or handheld device that has a built-in back door, enabling an attacker to gain illegal entrance.</w:t>
            </w:r>
          </w:p>
        </w:tc>
        <w:tc>
          <w:tcPr>
            <w:tcW w:w="5040" w:type="dxa"/>
          </w:tcPr>
          <w:p w:rsidR="00416B9F" w:rsidRDefault="00416B9F" w:rsidP="00C21015">
            <w:r>
              <w:rPr>
                <w:sz w:val="24"/>
                <w:szCs w:val="24"/>
              </w:rPr>
              <w:t xml:space="preserve">The Free Dictionary, link: </w:t>
            </w:r>
            <w:hyperlink r:id="rId6" w:history="1">
              <w:r w:rsidRPr="005643E7">
                <w:rPr>
                  <w:rStyle w:val="Hyperlink"/>
                  <w:sz w:val="16"/>
                  <w:szCs w:val="16"/>
                </w:rPr>
                <w:t>http://encyclopedia2.thefreedictionary.com/malicious+hardware</w:t>
              </w:r>
            </w:hyperlink>
          </w:p>
          <w:p w:rsidR="00416B9F" w:rsidRDefault="00416B9F" w:rsidP="00C21015">
            <w:pPr>
              <w:rPr>
                <w:sz w:val="24"/>
                <w:szCs w:val="24"/>
              </w:rPr>
            </w:pP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Pr="00B05D75" w:rsidRDefault="00416B9F" w:rsidP="00C21015">
            <w:pPr>
              <w:rPr>
                <w:sz w:val="24"/>
                <w:szCs w:val="24"/>
              </w:rPr>
            </w:pPr>
            <w:r w:rsidRPr="00B05D75">
              <w:rPr>
                <w:sz w:val="24"/>
                <w:szCs w:val="24"/>
              </w:rPr>
              <w:t xml:space="preserve">Nation State </w:t>
            </w:r>
          </w:p>
        </w:tc>
        <w:tc>
          <w:tcPr>
            <w:tcW w:w="4352" w:type="dxa"/>
          </w:tcPr>
          <w:p w:rsidR="00416B9F" w:rsidRPr="00B05D75" w:rsidRDefault="00416B9F" w:rsidP="00C21015">
            <w:pPr>
              <w:rPr>
                <w:sz w:val="24"/>
                <w:szCs w:val="24"/>
              </w:rPr>
            </w:pPr>
            <w:r>
              <w:rPr>
                <w:sz w:val="24"/>
                <w:szCs w:val="24"/>
              </w:rPr>
              <w:t>A</w:t>
            </w:r>
            <w:r w:rsidRPr="00B05D75">
              <w:rPr>
                <w:sz w:val="24"/>
                <w:szCs w:val="24"/>
              </w:rPr>
              <w:t xml:space="preserve"> form of political organization in which a group of people who share the same history, traditions, or language live in a particular area under one government</w:t>
            </w:r>
            <w:r>
              <w:rPr>
                <w:sz w:val="24"/>
                <w:szCs w:val="24"/>
              </w:rPr>
              <w:t>.</w:t>
            </w:r>
          </w:p>
          <w:p w:rsidR="00416B9F" w:rsidRPr="00B05D75" w:rsidRDefault="00416B9F" w:rsidP="00C21015">
            <w:pPr>
              <w:rPr>
                <w:sz w:val="24"/>
                <w:szCs w:val="24"/>
              </w:rPr>
            </w:pPr>
          </w:p>
        </w:tc>
        <w:tc>
          <w:tcPr>
            <w:tcW w:w="5040" w:type="dxa"/>
          </w:tcPr>
          <w:p w:rsidR="00416B9F" w:rsidRPr="00B05D75" w:rsidRDefault="005509A1" w:rsidP="00C21015">
            <w:pPr>
              <w:rPr>
                <w:sz w:val="24"/>
                <w:szCs w:val="24"/>
              </w:rPr>
            </w:pPr>
            <w:hyperlink r:id="rId7" w:history="1">
              <w:r w:rsidR="00416B9F" w:rsidRPr="00D50F60">
                <w:rPr>
                  <w:rStyle w:val="Hyperlink"/>
                  <w:sz w:val="24"/>
                  <w:szCs w:val="24"/>
                </w:rPr>
                <w:t>http://www.learnersdictionary.com/search/nation-state</w:t>
              </w:r>
            </w:hyperlink>
          </w:p>
          <w:p w:rsidR="00416B9F" w:rsidRPr="00B05D75" w:rsidRDefault="00416B9F" w:rsidP="00C21015">
            <w:pPr>
              <w:rPr>
                <w:sz w:val="24"/>
                <w:szCs w:val="24"/>
              </w:rPr>
            </w:pPr>
            <w:r w:rsidRPr="00B05D75">
              <w:rPr>
                <w:sz w:val="24"/>
                <w:szCs w:val="24"/>
              </w:rPr>
              <w:tab/>
            </w: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Pr="002F4287" w:rsidRDefault="00416B9F" w:rsidP="00C21015">
            <w:pPr>
              <w:rPr>
                <w:sz w:val="24"/>
                <w:szCs w:val="24"/>
              </w:rPr>
            </w:pPr>
            <w:r>
              <w:rPr>
                <w:sz w:val="24"/>
                <w:szCs w:val="24"/>
              </w:rPr>
              <w:t>Software /Malicious Code</w:t>
            </w:r>
          </w:p>
        </w:tc>
        <w:tc>
          <w:tcPr>
            <w:tcW w:w="4352" w:type="dxa"/>
          </w:tcPr>
          <w:p w:rsidR="00416B9F" w:rsidRPr="002F4287" w:rsidRDefault="00416B9F" w:rsidP="00C21015">
            <w:pPr>
              <w:rPr>
                <w:sz w:val="24"/>
                <w:szCs w:val="24"/>
              </w:rPr>
            </w:pPr>
            <w:r>
              <w:rPr>
                <w:sz w:val="24"/>
                <w:szCs w:val="24"/>
              </w:rPr>
              <w:t>Software or firmware intended to perform an unauthorized process that will have adverse impact on the confidentiality, integrity, or availability of an information system. A virus, worm, Trojan horse, or other code-based entity that infects a host. Spyware and some forms of adware are also examples of malicious code.</w:t>
            </w:r>
          </w:p>
        </w:tc>
        <w:tc>
          <w:tcPr>
            <w:tcW w:w="5040" w:type="dxa"/>
          </w:tcPr>
          <w:p w:rsidR="00416B9F" w:rsidRPr="002F4287" w:rsidRDefault="00416B9F" w:rsidP="00C21015">
            <w:pPr>
              <w:rPr>
                <w:sz w:val="24"/>
                <w:szCs w:val="24"/>
              </w:rPr>
            </w:pPr>
            <w:r>
              <w:rPr>
                <w:sz w:val="24"/>
                <w:szCs w:val="24"/>
              </w:rPr>
              <w:t>NIST SP 800-53, Rev 4, Security and Privacy Controls for Federal Information Systems and Organizations, Page B-10.</w:t>
            </w:r>
          </w:p>
        </w:tc>
      </w:tr>
      <w:tr w:rsidR="00416B9F" w:rsidTr="00416B9F">
        <w:trPr>
          <w:cantSplit/>
          <w:jc w:val="center"/>
        </w:trPr>
        <w:tc>
          <w:tcPr>
            <w:tcW w:w="1160" w:type="dxa"/>
          </w:tcPr>
          <w:p w:rsidR="00416B9F" w:rsidRPr="002B77D5" w:rsidRDefault="00416B9F" w:rsidP="00416B9F">
            <w:pPr>
              <w:pStyle w:val="ListParagraph"/>
              <w:numPr>
                <w:ilvl w:val="0"/>
                <w:numId w:val="3"/>
              </w:numPr>
              <w:rPr>
                <w:sz w:val="24"/>
                <w:szCs w:val="24"/>
              </w:rPr>
            </w:pPr>
          </w:p>
        </w:tc>
        <w:tc>
          <w:tcPr>
            <w:tcW w:w="2138" w:type="dxa"/>
          </w:tcPr>
          <w:p w:rsidR="00416B9F" w:rsidRPr="002F4287" w:rsidRDefault="00416B9F" w:rsidP="00C21015">
            <w:pPr>
              <w:rPr>
                <w:sz w:val="24"/>
                <w:szCs w:val="24"/>
              </w:rPr>
            </w:pPr>
            <w:r>
              <w:rPr>
                <w:sz w:val="24"/>
                <w:szCs w:val="24"/>
              </w:rPr>
              <w:t>Spyware</w:t>
            </w:r>
          </w:p>
        </w:tc>
        <w:tc>
          <w:tcPr>
            <w:tcW w:w="4352" w:type="dxa"/>
          </w:tcPr>
          <w:p w:rsidR="00416B9F" w:rsidRPr="002F4287" w:rsidRDefault="00416B9F" w:rsidP="00C21015">
            <w:pPr>
              <w:rPr>
                <w:sz w:val="24"/>
                <w:szCs w:val="24"/>
              </w:rPr>
            </w:pPr>
            <w:r>
              <w:rPr>
                <w:sz w:val="24"/>
                <w:szCs w:val="24"/>
              </w:rPr>
              <w:t>Software that is secretly or surreptitiously installed into an information system to gather information on individuals or organizations without their knowledge; a type of malicious code</w:t>
            </w:r>
          </w:p>
        </w:tc>
        <w:tc>
          <w:tcPr>
            <w:tcW w:w="5040" w:type="dxa"/>
          </w:tcPr>
          <w:p w:rsidR="00416B9F" w:rsidRPr="002F4287" w:rsidRDefault="00416B9F" w:rsidP="00C21015">
            <w:pPr>
              <w:rPr>
                <w:sz w:val="24"/>
                <w:szCs w:val="24"/>
              </w:rPr>
            </w:pPr>
            <w:r>
              <w:rPr>
                <w:sz w:val="24"/>
                <w:szCs w:val="24"/>
              </w:rPr>
              <w:t>NIST SP 800-53, Rev 4, Security and Privacy Controls for Federal Information Systems and Organizations, Page B-19.</w:t>
            </w:r>
          </w:p>
        </w:tc>
      </w:tr>
      <w:tr w:rsidR="00416B9F" w:rsidTr="00416B9F">
        <w:trPr>
          <w:cantSplit/>
          <w:jc w:val="center"/>
        </w:trPr>
        <w:tc>
          <w:tcPr>
            <w:tcW w:w="1160" w:type="dxa"/>
          </w:tcPr>
          <w:p w:rsidR="00416B9F" w:rsidRPr="001D56AD" w:rsidRDefault="00416B9F" w:rsidP="00416B9F">
            <w:pPr>
              <w:pStyle w:val="ListParagraph"/>
              <w:numPr>
                <w:ilvl w:val="0"/>
                <w:numId w:val="3"/>
              </w:numPr>
              <w:rPr>
                <w:sz w:val="24"/>
                <w:szCs w:val="24"/>
              </w:rPr>
            </w:pPr>
          </w:p>
        </w:tc>
        <w:tc>
          <w:tcPr>
            <w:tcW w:w="2138" w:type="dxa"/>
          </w:tcPr>
          <w:p w:rsidR="00416B9F" w:rsidRPr="001D56AD" w:rsidRDefault="00416B9F" w:rsidP="00C21015">
            <w:pPr>
              <w:rPr>
                <w:sz w:val="24"/>
                <w:szCs w:val="24"/>
              </w:rPr>
            </w:pPr>
            <w:r w:rsidRPr="001D56AD">
              <w:rPr>
                <w:sz w:val="24"/>
                <w:szCs w:val="24"/>
              </w:rPr>
              <w:t>Terrorist Organization</w:t>
            </w:r>
          </w:p>
        </w:tc>
        <w:tc>
          <w:tcPr>
            <w:tcW w:w="4352" w:type="dxa"/>
          </w:tcPr>
          <w:p w:rsidR="00416B9F" w:rsidRPr="001D56AD" w:rsidRDefault="00416B9F" w:rsidP="00C21015">
            <w:pPr>
              <w:autoSpaceDE w:val="0"/>
              <w:autoSpaceDN w:val="0"/>
              <w:adjustRightInd w:val="0"/>
              <w:rPr>
                <w:rFonts w:cs="Times-Roman"/>
                <w:sz w:val="24"/>
                <w:szCs w:val="24"/>
              </w:rPr>
            </w:pPr>
            <w:r w:rsidRPr="001D56AD">
              <w:rPr>
                <w:rFonts w:cs="Times-Roman"/>
                <w:sz w:val="24"/>
                <w:szCs w:val="24"/>
              </w:rPr>
              <w:t>Any number of terrorists who assemble together, have a unifying relationship,</w:t>
            </w:r>
          </w:p>
          <w:p w:rsidR="00416B9F" w:rsidRPr="001D56AD" w:rsidRDefault="00416B9F" w:rsidP="00C21015">
            <w:pPr>
              <w:autoSpaceDE w:val="0"/>
              <w:autoSpaceDN w:val="0"/>
              <w:adjustRightInd w:val="0"/>
              <w:rPr>
                <w:b/>
                <w:i/>
                <w:sz w:val="36"/>
                <w:szCs w:val="36"/>
              </w:rPr>
            </w:pPr>
            <w:r w:rsidRPr="001D56AD">
              <w:rPr>
                <w:rFonts w:cs="Times-Roman"/>
                <w:sz w:val="24"/>
                <w:szCs w:val="24"/>
              </w:rPr>
              <w:t>or are organized for the purpose of committing an act or acts of violence or threatens violence in pursuit of their political, religious, or ideological objectives.</w:t>
            </w:r>
          </w:p>
        </w:tc>
        <w:tc>
          <w:tcPr>
            <w:tcW w:w="5040" w:type="dxa"/>
          </w:tcPr>
          <w:p w:rsidR="00416B9F" w:rsidRPr="001D56AD" w:rsidRDefault="005509A1" w:rsidP="00C21015">
            <w:pPr>
              <w:rPr>
                <w:sz w:val="24"/>
                <w:szCs w:val="24"/>
              </w:rPr>
            </w:pPr>
            <w:hyperlink r:id="rId8" w:history="1">
              <w:r w:rsidR="00416B9F" w:rsidRPr="001D56AD">
                <w:rPr>
                  <w:rStyle w:val="Hyperlink"/>
                  <w:sz w:val="24"/>
                  <w:szCs w:val="24"/>
                </w:rPr>
                <w:t>http://wstiac.alionscience.com/pdf/dodmilitarydictionary.pdf</w:t>
              </w:r>
            </w:hyperlink>
          </w:p>
          <w:p w:rsidR="00416B9F" w:rsidRPr="001D56AD" w:rsidRDefault="00416B9F" w:rsidP="00C21015">
            <w:pPr>
              <w:rPr>
                <w:sz w:val="24"/>
                <w:szCs w:val="24"/>
              </w:rPr>
            </w:pPr>
          </w:p>
          <w:p w:rsidR="00416B9F" w:rsidRPr="001D56AD" w:rsidRDefault="00416B9F" w:rsidP="00C21015">
            <w:pPr>
              <w:rPr>
                <w:sz w:val="24"/>
                <w:szCs w:val="24"/>
              </w:rPr>
            </w:pPr>
          </w:p>
          <w:p w:rsidR="00416B9F" w:rsidRPr="001D56AD" w:rsidRDefault="00416B9F" w:rsidP="00C21015">
            <w:pPr>
              <w:rPr>
                <w:sz w:val="24"/>
                <w:szCs w:val="24"/>
              </w:rPr>
            </w:pPr>
          </w:p>
        </w:tc>
      </w:tr>
    </w:tbl>
    <w:p w:rsidR="00404EF5" w:rsidRDefault="00404EF5" w:rsidP="00404EF5">
      <w:pPr>
        <w:rPr>
          <w:rFonts w:ascii="Times New Roman" w:hAnsi="Times New Roman" w:cs="Times New Roman"/>
          <w:sz w:val="24"/>
          <w:szCs w:val="24"/>
        </w:rPr>
      </w:pPr>
    </w:p>
    <w:p w:rsidR="007C2B3B" w:rsidRPr="00404EF5" w:rsidRDefault="007C2B3B" w:rsidP="00404EF5"/>
    <w:sectPr w:rsidR="007C2B3B" w:rsidRPr="00404EF5" w:rsidSect="00416B9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958"/>
    <w:multiLevelType w:val="hybridMultilevel"/>
    <w:tmpl w:val="599871D8"/>
    <w:lvl w:ilvl="0" w:tplc="C7A213F0">
      <w:start w:val="1"/>
      <w:numFmt w:val="bullet"/>
      <w:lvlText w:val="•"/>
      <w:lvlJc w:val="left"/>
      <w:pPr>
        <w:tabs>
          <w:tab w:val="num" w:pos="720"/>
        </w:tabs>
        <w:ind w:left="720" w:hanging="360"/>
      </w:pPr>
      <w:rPr>
        <w:rFonts w:ascii="Arial" w:hAnsi="Arial" w:hint="default"/>
      </w:rPr>
    </w:lvl>
    <w:lvl w:ilvl="1" w:tplc="42A65690">
      <w:start w:val="1"/>
      <w:numFmt w:val="bullet"/>
      <w:lvlText w:val="•"/>
      <w:lvlJc w:val="left"/>
      <w:pPr>
        <w:tabs>
          <w:tab w:val="num" w:pos="1440"/>
        </w:tabs>
        <w:ind w:left="1440" w:hanging="360"/>
      </w:pPr>
      <w:rPr>
        <w:rFonts w:ascii="Arial" w:hAnsi="Arial" w:hint="default"/>
      </w:rPr>
    </w:lvl>
    <w:lvl w:ilvl="2" w:tplc="2D1E3262" w:tentative="1">
      <w:start w:val="1"/>
      <w:numFmt w:val="bullet"/>
      <w:lvlText w:val="•"/>
      <w:lvlJc w:val="left"/>
      <w:pPr>
        <w:tabs>
          <w:tab w:val="num" w:pos="2160"/>
        </w:tabs>
        <w:ind w:left="2160" w:hanging="360"/>
      </w:pPr>
      <w:rPr>
        <w:rFonts w:ascii="Arial" w:hAnsi="Arial" w:hint="default"/>
      </w:rPr>
    </w:lvl>
    <w:lvl w:ilvl="3" w:tplc="2820D4C4" w:tentative="1">
      <w:start w:val="1"/>
      <w:numFmt w:val="bullet"/>
      <w:lvlText w:val="•"/>
      <w:lvlJc w:val="left"/>
      <w:pPr>
        <w:tabs>
          <w:tab w:val="num" w:pos="2880"/>
        </w:tabs>
        <w:ind w:left="2880" w:hanging="360"/>
      </w:pPr>
      <w:rPr>
        <w:rFonts w:ascii="Arial" w:hAnsi="Arial" w:hint="default"/>
      </w:rPr>
    </w:lvl>
    <w:lvl w:ilvl="4" w:tplc="09928498" w:tentative="1">
      <w:start w:val="1"/>
      <w:numFmt w:val="bullet"/>
      <w:lvlText w:val="•"/>
      <w:lvlJc w:val="left"/>
      <w:pPr>
        <w:tabs>
          <w:tab w:val="num" w:pos="3600"/>
        </w:tabs>
        <w:ind w:left="3600" w:hanging="360"/>
      </w:pPr>
      <w:rPr>
        <w:rFonts w:ascii="Arial" w:hAnsi="Arial" w:hint="default"/>
      </w:rPr>
    </w:lvl>
    <w:lvl w:ilvl="5" w:tplc="366048AC" w:tentative="1">
      <w:start w:val="1"/>
      <w:numFmt w:val="bullet"/>
      <w:lvlText w:val="•"/>
      <w:lvlJc w:val="left"/>
      <w:pPr>
        <w:tabs>
          <w:tab w:val="num" w:pos="4320"/>
        </w:tabs>
        <w:ind w:left="4320" w:hanging="360"/>
      </w:pPr>
      <w:rPr>
        <w:rFonts w:ascii="Arial" w:hAnsi="Arial" w:hint="default"/>
      </w:rPr>
    </w:lvl>
    <w:lvl w:ilvl="6" w:tplc="55D8D57C" w:tentative="1">
      <w:start w:val="1"/>
      <w:numFmt w:val="bullet"/>
      <w:lvlText w:val="•"/>
      <w:lvlJc w:val="left"/>
      <w:pPr>
        <w:tabs>
          <w:tab w:val="num" w:pos="5040"/>
        </w:tabs>
        <w:ind w:left="5040" w:hanging="360"/>
      </w:pPr>
      <w:rPr>
        <w:rFonts w:ascii="Arial" w:hAnsi="Arial" w:hint="default"/>
      </w:rPr>
    </w:lvl>
    <w:lvl w:ilvl="7" w:tplc="903CDF52" w:tentative="1">
      <w:start w:val="1"/>
      <w:numFmt w:val="bullet"/>
      <w:lvlText w:val="•"/>
      <w:lvlJc w:val="left"/>
      <w:pPr>
        <w:tabs>
          <w:tab w:val="num" w:pos="5760"/>
        </w:tabs>
        <w:ind w:left="5760" w:hanging="360"/>
      </w:pPr>
      <w:rPr>
        <w:rFonts w:ascii="Arial" w:hAnsi="Arial" w:hint="default"/>
      </w:rPr>
    </w:lvl>
    <w:lvl w:ilvl="8" w:tplc="0F4C31B2" w:tentative="1">
      <w:start w:val="1"/>
      <w:numFmt w:val="bullet"/>
      <w:lvlText w:val="•"/>
      <w:lvlJc w:val="left"/>
      <w:pPr>
        <w:tabs>
          <w:tab w:val="num" w:pos="6480"/>
        </w:tabs>
        <w:ind w:left="6480" w:hanging="360"/>
      </w:pPr>
      <w:rPr>
        <w:rFonts w:ascii="Arial" w:hAnsi="Arial" w:hint="default"/>
      </w:rPr>
    </w:lvl>
  </w:abstractNum>
  <w:abstractNum w:abstractNumId="1">
    <w:nsid w:val="1497166E"/>
    <w:multiLevelType w:val="hybridMultilevel"/>
    <w:tmpl w:val="59D49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64B6D"/>
    <w:multiLevelType w:val="hybridMultilevel"/>
    <w:tmpl w:val="AD10BE0A"/>
    <w:lvl w:ilvl="0" w:tplc="3B1E3B7C">
      <w:start w:val="1"/>
      <w:numFmt w:val="bullet"/>
      <w:lvlText w:val="•"/>
      <w:lvlJc w:val="left"/>
      <w:pPr>
        <w:tabs>
          <w:tab w:val="num" w:pos="720"/>
        </w:tabs>
        <w:ind w:left="720" w:hanging="360"/>
      </w:pPr>
      <w:rPr>
        <w:rFonts w:ascii="Arial" w:hAnsi="Arial" w:hint="default"/>
      </w:rPr>
    </w:lvl>
    <w:lvl w:ilvl="1" w:tplc="72383520">
      <w:start w:val="1"/>
      <w:numFmt w:val="bullet"/>
      <w:lvlText w:val="•"/>
      <w:lvlJc w:val="left"/>
      <w:pPr>
        <w:tabs>
          <w:tab w:val="num" w:pos="1440"/>
        </w:tabs>
        <w:ind w:left="1440" w:hanging="360"/>
      </w:pPr>
      <w:rPr>
        <w:rFonts w:ascii="Arial" w:hAnsi="Arial" w:hint="default"/>
      </w:rPr>
    </w:lvl>
    <w:lvl w:ilvl="2" w:tplc="800CC9EC" w:tentative="1">
      <w:start w:val="1"/>
      <w:numFmt w:val="bullet"/>
      <w:lvlText w:val="•"/>
      <w:lvlJc w:val="left"/>
      <w:pPr>
        <w:tabs>
          <w:tab w:val="num" w:pos="2160"/>
        </w:tabs>
        <w:ind w:left="2160" w:hanging="360"/>
      </w:pPr>
      <w:rPr>
        <w:rFonts w:ascii="Arial" w:hAnsi="Arial" w:hint="default"/>
      </w:rPr>
    </w:lvl>
    <w:lvl w:ilvl="3" w:tplc="F27038CE" w:tentative="1">
      <w:start w:val="1"/>
      <w:numFmt w:val="bullet"/>
      <w:lvlText w:val="•"/>
      <w:lvlJc w:val="left"/>
      <w:pPr>
        <w:tabs>
          <w:tab w:val="num" w:pos="2880"/>
        </w:tabs>
        <w:ind w:left="2880" w:hanging="360"/>
      </w:pPr>
      <w:rPr>
        <w:rFonts w:ascii="Arial" w:hAnsi="Arial" w:hint="default"/>
      </w:rPr>
    </w:lvl>
    <w:lvl w:ilvl="4" w:tplc="9CB2C9CA" w:tentative="1">
      <w:start w:val="1"/>
      <w:numFmt w:val="bullet"/>
      <w:lvlText w:val="•"/>
      <w:lvlJc w:val="left"/>
      <w:pPr>
        <w:tabs>
          <w:tab w:val="num" w:pos="3600"/>
        </w:tabs>
        <w:ind w:left="3600" w:hanging="360"/>
      </w:pPr>
      <w:rPr>
        <w:rFonts w:ascii="Arial" w:hAnsi="Arial" w:hint="default"/>
      </w:rPr>
    </w:lvl>
    <w:lvl w:ilvl="5" w:tplc="E258D7A8" w:tentative="1">
      <w:start w:val="1"/>
      <w:numFmt w:val="bullet"/>
      <w:lvlText w:val="•"/>
      <w:lvlJc w:val="left"/>
      <w:pPr>
        <w:tabs>
          <w:tab w:val="num" w:pos="4320"/>
        </w:tabs>
        <w:ind w:left="4320" w:hanging="360"/>
      </w:pPr>
      <w:rPr>
        <w:rFonts w:ascii="Arial" w:hAnsi="Arial" w:hint="default"/>
      </w:rPr>
    </w:lvl>
    <w:lvl w:ilvl="6" w:tplc="F6F8155A" w:tentative="1">
      <w:start w:val="1"/>
      <w:numFmt w:val="bullet"/>
      <w:lvlText w:val="•"/>
      <w:lvlJc w:val="left"/>
      <w:pPr>
        <w:tabs>
          <w:tab w:val="num" w:pos="5040"/>
        </w:tabs>
        <w:ind w:left="5040" w:hanging="360"/>
      </w:pPr>
      <w:rPr>
        <w:rFonts w:ascii="Arial" w:hAnsi="Arial" w:hint="default"/>
      </w:rPr>
    </w:lvl>
    <w:lvl w:ilvl="7" w:tplc="61D48C04" w:tentative="1">
      <w:start w:val="1"/>
      <w:numFmt w:val="bullet"/>
      <w:lvlText w:val="•"/>
      <w:lvlJc w:val="left"/>
      <w:pPr>
        <w:tabs>
          <w:tab w:val="num" w:pos="5760"/>
        </w:tabs>
        <w:ind w:left="5760" w:hanging="360"/>
      </w:pPr>
      <w:rPr>
        <w:rFonts w:ascii="Arial" w:hAnsi="Arial" w:hint="default"/>
      </w:rPr>
    </w:lvl>
    <w:lvl w:ilvl="8" w:tplc="12303B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04EF5"/>
    <w:rsid w:val="000459E6"/>
    <w:rsid w:val="000E2912"/>
    <w:rsid w:val="001D56AD"/>
    <w:rsid w:val="0022293C"/>
    <w:rsid w:val="00230A88"/>
    <w:rsid w:val="003158CD"/>
    <w:rsid w:val="003806A9"/>
    <w:rsid w:val="00404EF5"/>
    <w:rsid w:val="00416B9F"/>
    <w:rsid w:val="004D4E7B"/>
    <w:rsid w:val="004E11C6"/>
    <w:rsid w:val="005509A1"/>
    <w:rsid w:val="005C64EA"/>
    <w:rsid w:val="00646C5F"/>
    <w:rsid w:val="00670EA1"/>
    <w:rsid w:val="00672886"/>
    <w:rsid w:val="00684C68"/>
    <w:rsid w:val="006900E7"/>
    <w:rsid w:val="006E167A"/>
    <w:rsid w:val="00751223"/>
    <w:rsid w:val="007C2B3B"/>
    <w:rsid w:val="007C49EB"/>
    <w:rsid w:val="008B17DD"/>
    <w:rsid w:val="0099696D"/>
    <w:rsid w:val="00BD3FC2"/>
    <w:rsid w:val="00E4153F"/>
    <w:rsid w:val="00F61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CD"/>
  </w:style>
  <w:style w:type="paragraph" w:styleId="Heading1">
    <w:name w:val="heading 1"/>
    <w:basedOn w:val="Normal"/>
    <w:next w:val="Normal"/>
    <w:link w:val="Heading1Char"/>
    <w:uiPriority w:val="9"/>
    <w:qFormat/>
    <w:rsid w:val="00404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EF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0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F5"/>
    <w:rPr>
      <w:rFonts w:ascii="Tahoma" w:hAnsi="Tahoma" w:cs="Tahoma"/>
      <w:sz w:val="16"/>
      <w:szCs w:val="16"/>
    </w:rPr>
  </w:style>
  <w:style w:type="table" w:styleId="TableGrid">
    <w:name w:val="Table Grid"/>
    <w:basedOn w:val="TableNormal"/>
    <w:uiPriority w:val="59"/>
    <w:rsid w:val="007C2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B3B"/>
    <w:pPr>
      <w:ind w:left="720"/>
      <w:contextualSpacing/>
    </w:pPr>
  </w:style>
  <w:style w:type="character" w:styleId="Emphasis">
    <w:name w:val="Emphasis"/>
    <w:basedOn w:val="DefaultParagraphFont"/>
    <w:uiPriority w:val="20"/>
    <w:qFormat/>
    <w:rsid w:val="006900E7"/>
    <w:rPr>
      <w:i/>
      <w:iCs/>
    </w:rPr>
  </w:style>
  <w:style w:type="character" w:styleId="Strong">
    <w:name w:val="Strong"/>
    <w:basedOn w:val="DefaultParagraphFont"/>
    <w:uiPriority w:val="22"/>
    <w:qFormat/>
    <w:rsid w:val="006900E7"/>
    <w:rPr>
      <w:b/>
      <w:bCs/>
    </w:rPr>
  </w:style>
  <w:style w:type="character" w:customStyle="1" w:styleId="ssens">
    <w:name w:val="ssens"/>
    <w:basedOn w:val="DefaultParagraphFont"/>
    <w:rsid w:val="006900E7"/>
  </w:style>
  <w:style w:type="character" w:styleId="Hyperlink">
    <w:name w:val="Hyperlink"/>
    <w:basedOn w:val="DefaultParagraphFont"/>
    <w:uiPriority w:val="99"/>
    <w:unhideWhenUsed/>
    <w:rsid w:val="00416B9F"/>
    <w:rPr>
      <w:color w:val="0000FF" w:themeColor="hyperlink"/>
      <w:u w:val="single"/>
    </w:rPr>
  </w:style>
  <w:style w:type="character" w:styleId="FollowedHyperlink">
    <w:name w:val="FollowedHyperlink"/>
    <w:basedOn w:val="DefaultParagraphFont"/>
    <w:uiPriority w:val="99"/>
    <w:semiHidden/>
    <w:unhideWhenUsed/>
    <w:rsid w:val="00416B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009092">
      <w:bodyDiv w:val="1"/>
      <w:marLeft w:val="0"/>
      <w:marRight w:val="0"/>
      <w:marTop w:val="0"/>
      <w:marBottom w:val="0"/>
      <w:divBdr>
        <w:top w:val="none" w:sz="0" w:space="0" w:color="auto"/>
        <w:left w:val="none" w:sz="0" w:space="0" w:color="auto"/>
        <w:bottom w:val="none" w:sz="0" w:space="0" w:color="auto"/>
        <w:right w:val="none" w:sz="0" w:space="0" w:color="auto"/>
      </w:divBdr>
      <w:divsChild>
        <w:div w:id="1421950193">
          <w:marLeft w:val="0"/>
          <w:marRight w:val="0"/>
          <w:marTop w:val="0"/>
          <w:marBottom w:val="0"/>
          <w:divBdr>
            <w:top w:val="none" w:sz="0" w:space="0" w:color="auto"/>
            <w:left w:val="none" w:sz="0" w:space="0" w:color="auto"/>
            <w:bottom w:val="none" w:sz="0" w:space="0" w:color="auto"/>
            <w:right w:val="none" w:sz="0" w:space="0" w:color="auto"/>
          </w:divBdr>
          <w:divsChild>
            <w:div w:id="2076580945">
              <w:marLeft w:val="0"/>
              <w:marRight w:val="0"/>
              <w:marTop w:val="0"/>
              <w:marBottom w:val="0"/>
              <w:divBdr>
                <w:top w:val="none" w:sz="0" w:space="0" w:color="auto"/>
                <w:left w:val="none" w:sz="0" w:space="0" w:color="auto"/>
                <w:bottom w:val="none" w:sz="0" w:space="0" w:color="auto"/>
                <w:right w:val="none" w:sz="0" w:space="0" w:color="auto"/>
              </w:divBdr>
              <w:divsChild>
                <w:div w:id="280380494">
                  <w:marLeft w:val="2304"/>
                  <w:marRight w:val="4195"/>
                  <w:marTop w:val="0"/>
                  <w:marBottom w:val="0"/>
                  <w:divBdr>
                    <w:top w:val="none" w:sz="0" w:space="0" w:color="auto"/>
                    <w:left w:val="none" w:sz="0" w:space="0" w:color="auto"/>
                    <w:bottom w:val="none" w:sz="0" w:space="0" w:color="auto"/>
                    <w:right w:val="none" w:sz="0" w:space="0" w:color="auto"/>
                  </w:divBdr>
                  <w:divsChild>
                    <w:div w:id="674183769">
                      <w:marLeft w:val="0"/>
                      <w:marRight w:val="0"/>
                      <w:marTop w:val="0"/>
                      <w:marBottom w:val="0"/>
                      <w:divBdr>
                        <w:top w:val="none" w:sz="0" w:space="0" w:color="auto"/>
                        <w:left w:val="none" w:sz="0" w:space="0" w:color="auto"/>
                        <w:bottom w:val="none" w:sz="0" w:space="0" w:color="auto"/>
                        <w:right w:val="none" w:sz="0" w:space="0" w:color="auto"/>
                      </w:divBdr>
                      <w:divsChild>
                        <w:div w:id="491528415">
                          <w:marLeft w:val="0"/>
                          <w:marRight w:val="0"/>
                          <w:marTop w:val="0"/>
                          <w:marBottom w:val="0"/>
                          <w:divBdr>
                            <w:top w:val="none" w:sz="0" w:space="0" w:color="auto"/>
                            <w:left w:val="none" w:sz="0" w:space="0" w:color="auto"/>
                            <w:bottom w:val="none" w:sz="0" w:space="0" w:color="auto"/>
                            <w:right w:val="none" w:sz="0" w:space="0" w:color="auto"/>
                          </w:divBdr>
                          <w:divsChild>
                            <w:div w:id="974792604">
                              <w:marLeft w:val="0"/>
                              <w:marRight w:val="0"/>
                              <w:marTop w:val="0"/>
                              <w:marBottom w:val="0"/>
                              <w:divBdr>
                                <w:top w:val="none" w:sz="0" w:space="0" w:color="auto"/>
                                <w:left w:val="none" w:sz="0" w:space="0" w:color="auto"/>
                                <w:bottom w:val="none" w:sz="0" w:space="0" w:color="auto"/>
                                <w:right w:val="none" w:sz="0" w:space="0" w:color="auto"/>
                              </w:divBdr>
                              <w:divsChild>
                                <w:div w:id="1807435262">
                                  <w:marLeft w:val="0"/>
                                  <w:marRight w:val="0"/>
                                  <w:marTop w:val="0"/>
                                  <w:marBottom w:val="0"/>
                                  <w:divBdr>
                                    <w:top w:val="none" w:sz="0" w:space="0" w:color="auto"/>
                                    <w:left w:val="none" w:sz="0" w:space="0" w:color="auto"/>
                                    <w:bottom w:val="none" w:sz="0" w:space="0" w:color="auto"/>
                                    <w:right w:val="none" w:sz="0" w:space="0" w:color="auto"/>
                                  </w:divBdr>
                                  <w:divsChild>
                                    <w:div w:id="299771022">
                                      <w:marLeft w:val="0"/>
                                      <w:marRight w:val="0"/>
                                      <w:marTop w:val="0"/>
                                      <w:marBottom w:val="0"/>
                                      <w:divBdr>
                                        <w:top w:val="none" w:sz="0" w:space="0" w:color="auto"/>
                                        <w:left w:val="none" w:sz="0" w:space="0" w:color="auto"/>
                                        <w:bottom w:val="none" w:sz="0" w:space="0" w:color="auto"/>
                                        <w:right w:val="none" w:sz="0" w:space="0" w:color="auto"/>
                                      </w:divBdr>
                                      <w:divsChild>
                                        <w:div w:id="984050152">
                                          <w:marLeft w:val="0"/>
                                          <w:marRight w:val="0"/>
                                          <w:marTop w:val="0"/>
                                          <w:marBottom w:val="0"/>
                                          <w:divBdr>
                                            <w:top w:val="none" w:sz="0" w:space="0" w:color="auto"/>
                                            <w:left w:val="none" w:sz="0" w:space="0" w:color="auto"/>
                                            <w:bottom w:val="none" w:sz="0" w:space="0" w:color="auto"/>
                                            <w:right w:val="none" w:sz="0" w:space="0" w:color="auto"/>
                                          </w:divBdr>
                                          <w:divsChild>
                                            <w:div w:id="942228656">
                                              <w:marLeft w:val="0"/>
                                              <w:marRight w:val="0"/>
                                              <w:marTop w:val="0"/>
                                              <w:marBottom w:val="0"/>
                                              <w:divBdr>
                                                <w:top w:val="none" w:sz="0" w:space="0" w:color="auto"/>
                                                <w:left w:val="none" w:sz="0" w:space="0" w:color="auto"/>
                                                <w:bottom w:val="none" w:sz="0" w:space="0" w:color="auto"/>
                                                <w:right w:val="none" w:sz="0" w:space="0" w:color="auto"/>
                                              </w:divBdr>
                                              <w:divsChild>
                                                <w:div w:id="177354257">
                                                  <w:marLeft w:val="0"/>
                                                  <w:marRight w:val="0"/>
                                                  <w:marTop w:val="0"/>
                                                  <w:marBottom w:val="0"/>
                                                  <w:divBdr>
                                                    <w:top w:val="none" w:sz="0" w:space="0" w:color="auto"/>
                                                    <w:left w:val="none" w:sz="0" w:space="0" w:color="auto"/>
                                                    <w:bottom w:val="none" w:sz="0" w:space="0" w:color="auto"/>
                                                    <w:right w:val="none" w:sz="0" w:space="0" w:color="auto"/>
                                                  </w:divBdr>
                                                  <w:divsChild>
                                                    <w:div w:id="2051680482">
                                                      <w:marLeft w:val="0"/>
                                                      <w:marRight w:val="0"/>
                                                      <w:marTop w:val="0"/>
                                                      <w:marBottom w:val="0"/>
                                                      <w:divBdr>
                                                        <w:top w:val="none" w:sz="0" w:space="0" w:color="auto"/>
                                                        <w:left w:val="none" w:sz="0" w:space="0" w:color="auto"/>
                                                        <w:bottom w:val="none" w:sz="0" w:space="0" w:color="auto"/>
                                                        <w:right w:val="none" w:sz="0" w:space="0" w:color="auto"/>
                                                      </w:divBdr>
                                                      <w:divsChild>
                                                        <w:div w:id="1841382278">
                                                          <w:marLeft w:val="0"/>
                                                          <w:marRight w:val="0"/>
                                                          <w:marTop w:val="0"/>
                                                          <w:marBottom w:val="0"/>
                                                          <w:divBdr>
                                                            <w:top w:val="none" w:sz="0" w:space="0" w:color="auto"/>
                                                            <w:left w:val="none" w:sz="0" w:space="0" w:color="auto"/>
                                                            <w:bottom w:val="none" w:sz="0" w:space="0" w:color="auto"/>
                                                            <w:right w:val="none" w:sz="0" w:space="0" w:color="auto"/>
                                                          </w:divBdr>
                                                          <w:divsChild>
                                                            <w:div w:id="1325166042">
                                                              <w:marLeft w:val="0"/>
                                                              <w:marRight w:val="0"/>
                                                              <w:marTop w:val="0"/>
                                                              <w:marBottom w:val="0"/>
                                                              <w:divBdr>
                                                                <w:top w:val="none" w:sz="0" w:space="0" w:color="auto"/>
                                                                <w:left w:val="none" w:sz="0" w:space="0" w:color="auto"/>
                                                                <w:bottom w:val="none" w:sz="0" w:space="0" w:color="auto"/>
                                                                <w:right w:val="none" w:sz="0" w:space="0" w:color="auto"/>
                                                              </w:divBdr>
                                                              <w:divsChild>
                                                                <w:div w:id="119301993">
                                                                  <w:marLeft w:val="0"/>
                                                                  <w:marRight w:val="0"/>
                                                                  <w:marTop w:val="0"/>
                                                                  <w:marBottom w:val="0"/>
                                                                  <w:divBdr>
                                                                    <w:top w:val="none" w:sz="0" w:space="0" w:color="auto"/>
                                                                    <w:left w:val="none" w:sz="0" w:space="0" w:color="auto"/>
                                                                    <w:bottom w:val="none" w:sz="0" w:space="0" w:color="auto"/>
                                                                    <w:right w:val="none" w:sz="0" w:space="0" w:color="auto"/>
                                                                  </w:divBdr>
                                                                  <w:divsChild>
                                                                    <w:div w:id="1980767624">
                                                                      <w:marLeft w:val="0"/>
                                                                      <w:marRight w:val="0"/>
                                                                      <w:marTop w:val="0"/>
                                                                      <w:marBottom w:val="0"/>
                                                                      <w:divBdr>
                                                                        <w:top w:val="none" w:sz="0" w:space="0" w:color="auto"/>
                                                                        <w:left w:val="none" w:sz="0" w:space="0" w:color="auto"/>
                                                                        <w:bottom w:val="none" w:sz="0" w:space="0" w:color="auto"/>
                                                                        <w:right w:val="none" w:sz="0" w:space="0" w:color="auto"/>
                                                                      </w:divBdr>
                                                                      <w:divsChild>
                                                                        <w:div w:id="7870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95489">
      <w:bodyDiv w:val="1"/>
      <w:marLeft w:val="0"/>
      <w:marRight w:val="0"/>
      <w:marTop w:val="0"/>
      <w:marBottom w:val="0"/>
      <w:divBdr>
        <w:top w:val="none" w:sz="0" w:space="0" w:color="auto"/>
        <w:left w:val="none" w:sz="0" w:space="0" w:color="auto"/>
        <w:bottom w:val="none" w:sz="0" w:space="0" w:color="auto"/>
        <w:right w:val="none" w:sz="0" w:space="0" w:color="auto"/>
      </w:divBdr>
      <w:divsChild>
        <w:div w:id="1421178023">
          <w:marLeft w:val="907"/>
          <w:marRight w:val="0"/>
          <w:marTop w:val="0"/>
          <w:marBottom w:val="240"/>
          <w:divBdr>
            <w:top w:val="none" w:sz="0" w:space="0" w:color="auto"/>
            <w:left w:val="none" w:sz="0" w:space="0" w:color="auto"/>
            <w:bottom w:val="none" w:sz="0" w:space="0" w:color="auto"/>
            <w:right w:val="none" w:sz="0" w:space="0" w:color="auto"/>
          </w:divBdr>
        </w:div>
        <w:div w:id="1753231692">
          <w:marLeft w:val="907"/>
          <w:marRight w:val="0"/>
          <w:marTop w:val="0"/>
          <w:marBottom w:val="240"/>
          <w:divBdr>
            <w:top w:val="none" w:sz="0" w:space="0" w:color="auto"/>
            <w:left w:val="none" w:sz="0" w:space="0" w:color="auto"/>
            <w:bottom w:val="none" w:sz="0" w:space="0" w:color="auto"/>
            <w:right w:val="none" w:sz="0" w:space="0" w:color="auto"/>
          </w:divBdr>
        </w:div>
        <w:div w:id="1058631071">
          <w:marLeft w:val="907"/>
          <w:marRight w:val="0"/>
          <w:marTop w:val="0"/>
          <w:marBottom w:val="240"/>
          <w:divBdr>
            <w:top w:val="none" w:sz="0" w:space="0" w:color="auto"/>
            <w:left w:val="none" w:sz="0" w:space="0" w:color="auto"/>
            <w:bottom w:val="none" w:sz="0" w:space="0" w:color="auto"/>
            <w:right w:val="none" w:sz="0" w:space="0" w:color="auto"/>
          </w:divBdr>
        </w:div>
      </w:divsChild>
    </w:div>
    <w:div w:id="813915031">
      <w:bodyDiv w:val="1"/>
      <w:marLeft w:val="0"/>
      <w:marRight w:val="0"/>
      <w:marTop w:val="240"/>
      <w:marBottom w:val="0"/>
      <w:divBdr>
        <w:top w:val="none" w:sz="0" w:space="0" w:color="auto"/>
        <w:left w:val="none" w:sz="0" w:space="0" w:color="auto"/>
        <w:bottom w:val="none" w:sz="0" w:space="0" w:color="auto"/>
        <w:right w:val="none" w:sz="0" w:space="0" w:color="auto"/>
      </w:divBdr>
      <w:divsChild>
        <w:div w:id="363605580">
          <w:marLeft w:val="0"/>
          <w:marRight w:val="0"/>
          <w:marTop w:val="0"/>
          <w:marBottom w:val="0"/>
          <w:divBdr>
            <w:top w:val="none" w:sz="0" w:space="0" w:color="auto"/>
            <w:left w:val="none" w:sz="0" w:space="0" w:color="auto"/>
            <w:bottom w:val="none" w:sz="0" w:space="0" w:color="auto"/>
            <w:right w:val="none" w:sz="0" w:space="0" w:color="auto"/>
          </w:divBdr>
          <w:divsChild>
            <w:div w:id="758870825">
              <w:marLeft w:val="0"/>
              <w:marRight w:val="0"/>
              <w:marTop w:val="0"/>
              <w:marBottom w:val="0"/>
              <w:divBdr>
                <w:top w:val="none" w:sz="0" w:space="0" w:color="auto"/>
                <w:left w:val="single" w:sz="12" w:space="6" w:color="413E45"/>
                <w:bottom w:val="none" w:sz="0" w:space="0" w:color="auto"/>
                <w:right w:val="single" w:sz="12" w:space="6" w:color="413E45"/>
              </w:divBdr>
              <w:divsChild>
                <w:div w:id="1178883206">
                  <w:marLeft w:val="0"/>
                  <w:marRight w:val="0"/>
                  <w:marTop w:val="0"/>
                  <w:marBottom w:val="0"/>
                  <w:divBdr>
                    <w:top w:val="none" w:sz="0" w:space="0" w:color="auto"/>
                    <w:left w:val="none" w:sz="0" w:space="0" w:color="auto"/>
                    <w:bottom w:val="none" w:sz="0" w:space="0" w:color="auto"/>
                    <w:right w:val="none" w:sz="0" w:space="0" w:color="auto"/>
                  </w:divBdr>
                  <w:divsChild>
                    <w:div w:id="2019044267">
                      <w:marLeft w:val="125"/>
                      <w:marRight w:val="125"/>
                      <w:marTop w:val="0"/>
                      <w:marBottom w:val="0"/>
                      <w:divBdr>
                        <w:top w:val="single" w:sz="12" w:space="0" w:color="EEEEEE"/>
                        <w:left w:val="single" w:sz="12" w:space="0" w:color="EEEEEE"/>
                        <w:bottom w:val="single" w:sz="12" w:space="0" w:color="EEEEEE"/>
                        <w:right w:val="single" w:sz="12" w:space="0" w:color="EEEEEE"/>
                      </w:divBdr>
                      <w:divsChild>
                        <w:div w:id="515735294">
                          <w:marLeft w:val="188"/>
                          <w:marRight w:val="63"/>
                          <w:marTop w:val="125"/>
                          <w:marBottom w:val="0"/>
                          <w:divBdr>
                            <w:top w:val="none" w:sz="0" w:space="0" w:color="auto"/>
                            <w:left w:val="none" w:sz="0" w:space="0" w:color="auto"/>
                            <w:bottom w:val="none" w:sz="0" w:space="0" w:color="auto"/>
                            <w:right w:val="none" w:sz="0" w:space="0" w:color="auto"/>
                          </w:divBdr>
                          <w:divsChild>
                            <w:div w:id="1996764485">
                              <w:marLeft w:val="0"/>
                              <w:marRight w:val="0"/>
                              <w:marTop w:val="0"/>
                              <w:marBottom w:val="0"/>
                              <w:divBdr>
                                <w:top w:val="none" w:sz="0" w:space="0" w:color="auto"/>
                                <w:left w:val="none" w:sz="0" w:space="0" w:color="auto"/>
                                <w:bottom w:val="none" w:sz="0" w:space="0" w:color="auto"/>
                                <w:right w:val="none" w:sz="0" w:space="0" w:color="auto"/>
                              </w:divBdr>
                              <w:divsChild>
                                <w:div w:id="1729186561">
                                  <w:marLeft w:val="0"/>
                                  <w:marRight w:val="313"/>
                                  <w:marTop w:val="0"/>
                                  <w:marBottom w:val="125"/>
                                  <w:divBdr>
                                    <w:top w:val="none" w:sz="0" w:space="0" w:color="auto"/>
                                    <w:left w:val="none" w:sz="0" w:space="0" w:color="auto"/>
                                    <w:bottom w:val="none" w:sz="0" w:space="0" w:color="auto"/>
                                    <w:right w:val="none" w:sz="0" w:space="0" w:color="auto"/>
                                  </w:divBdr>
                                  <w:divsChild>
                                    <w:div w:id="18008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749056">
      <w:bodyDiv w:val="1"/>
      <w:marLeft w:val="0"/>
      <w:marRight w:val="0"/>
      <w:marTop w:val="0"/>
      <w:marBottom w:val="0"/>
      <w:divBdr>
        <w:top w:val="none" w:sz="0" w:space="0" w:color="auto"/>
        <w:left w:val="none" w:sz="0" w:space="0" w:color="auto"/>
        <w:bottom w:val="none" w:sz="0" w:space="0" w:color="auto"/>
        <w:right w:val="none" w:sz="0" w:space="0" w:color="auto"/>
      </w:divBdr>
      <w:divsChild>
        <w:div w:id="2081440138">
          <w:marLeft w:val="907"/>
          <w:marRight w:val="0"/>
          <w:marTop w:val="0"/>
          <w:marBottom w:val="240"/>
          <w:divBdr>
            <w:top w:val="none" w:sz="0" w:space="0" w:color="auto"/>
            <w:left w:val="none" w:sz="0" w:space="0" w:color="auto"/>
            <w:bottom w:val="none" w:sz="0" w:space="0" w:color="auto"/>
            <w:right w:val="none" w:sz="0" w:space="0" w:color="auto"/>
          </w:divBdr>
        </w:div>
        <w:div w:id="1681665099">
          <w:marLeft w:val="907"/>
          <w:marRight w:val="0"/>
          <w:marTop w:val="0"/>
          <w:marBottom w:val="240"/>
          <w:divBdr>
            <w:top w:val="none" w:sz="0" w:space="0" w:color="auto"/>
            <w:left w:val="none" w:sz="0" w:space="0" w:color="auto"/>
            <w:bottom w:val="none" w:sz="0" w:space="0" w:color="auto"/>
            <w:right w:val="none" w:sz="0" w:space="0" w:color="auto"/>
          </w:divBdr>
        </w:div>
        <w:div w:id="1111822312">
          <w:marLeft w:val="90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tiac.alionscience.com/pdf/dodmilitarydictionary.pdf" TargetMode="External"/><Relationship Id="rId3" Type="http://schemas.openxmlformats.org/officeDocument/2006/relationships/settings" Target="settings.xml"/><Relationship Id="rId7" Type="http://schemas.openxmlformats.org/officeDocument/2006/relationships/hyperlink" Target="http://www.learnersdictionary.com/search/nation-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yclopedia2.thefreedictionary.com/malicious+hardware" TargetMode="External"/><Relationship Id="rId5" Type="http://schemas.openxmlformats.org/officeDocument/2006/relationships/hyperlink" Target="http://www.paloaltonetworks.com/community/learning-center/what-is-cyber-securit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Kurt Slocum</dc:creator>
  <cp:lastModifiedBy>nicholjm</cp:lastModifiedBy>
  <cp:revision>2</cp:revision>
  <dcterms:created xsi:type="dcterms:W3CDTF">2013-04-30T19:11:00Z</dcterms:created>
  <dcterms:modified xsi:type="dcterms:W3CDTF">2013-04-30T19:11:00Z</dcterms:modified>
</cp:coreProperties>
</file>