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286"/>
        <w:gridCol w:w="8290"/>
      </w:tblGrid>
      <w:tr w:rsidR="00934D18" w:rsidTr="003D3213">
        <w:trPr>
          <w:tblHeader/>
        </w:trPr>
        <w:tc>
          <w:tcPr>
            <w:tcW w:w="1286" w:type="dxa"/>
            <w:shd w:val="clear" w:color="auto" w:fill="A6A6A6" w:themeFill="background1" w:themeFillShade="A6"/>
          </w:tcPr>
          <w:p w:rsidR="00934D18" w:rsidRPr="00934D18" w:rsidRDefault="00934D18" w:rsidP="00934D18">
            <w:pPr>
              <w:jc w:val="center"/>
              <w:rPr>
                <w:rFonts w:ascii="Calibri" w:hAnsi="Calibri"/>
                <w:sz w:val="32"/>
                <w:szCs w:val="32"/>
              </w:rPr>
            </w:pPr>
            <w:r w:rsidRPr="00934D18">
              <w:rPr>
                <w:rFonts w:ascii="Calibri" w:hAnsi="Calibri"/>
                <w:sz w:val="32"/>
                <w:szCs w:val="32"/>
              </w:rPr>
              <w:t>Number</w:t>
            </w:r>
          </w:p>
        </w:tc>
        <w:tc>
          <w:tcPr>
            <w:tcW w:w="8290" w:type="dxa"/>
            <w:shd w:val="clear" w:color="auto" w:fill="A6A6A6" w:themeFill="background1" w:themeFillShade="A6"/>
          </w:tcPr>
          <w:p w:rsidR="00934D18" w:rsidRPr="00934D18" w:rsidRDefault="00934D18" w:rsidP="00934D18">
            <w:pPr>
              <w:jc w:val="center"/>
              <w:rPr>
                <w:rFonts w:ascii="Calibri" w:hAnsi="Calibri"/>
                <w:sz w:val="32"/>
                <w:szCs w:val="32"/>
              </w:rPr>
            </w:pPr>
            <w:r w:rsidRPr="00934D18">
              <w:rPr>
                <w:rFonts w:ascii="Calibri" w:hAnsi="Calibri"/>
                <w:sz w:val="32"/>
                <w:szCs w:val="32"/>
              </w:rPr>
              <w:t>Blue</w:t>
            </w:r>
            <w:r w:rsidR="003D3213">
              <w:rPr>
                <w:rFonts w:ascii="Calibri" w:hAnsi="Calibri"/>
                <w:sz w:val="32"/>
                <w:szCs w:val="32"/>
              </w:rPr>
              <w:t xml:space="preserve"> </w:t>
            </w:r>
            <w:r w:rsidRPr="00934D18">
              <w:rPr>
                <w:rFonts w:ascii="Calibri" w:hAnsi="Calibri"/>
                <w:sz w:val="32"/>
                <w:szCs w:val="32"/>
              </w:rPr>
              <w:t>box Display Message</w:t>
            </w:r>
          </w:p>
        </w:tc>
      </w:tr>
      <w:tr w:rsidR="000F6D2A" w:rsidTr="000F6D2A">
        <w:tc>
          <w:tcPr>
            <w:tcW w:w="1286" w:type="dxa"/>
            <w:shd w:val="clear" w:color="auto" w:fill="FFFFFF" w:themeFill="background1"/>
          </w:tcPr>
          <w:p w:rsidR="000F6D2A" w:rsidRPr="00934D18" w:rsidRDefault="000F6D2A" w:rsidP="00934D18">
            <w:pPr>
              <w:jc w:val="center"/>
              <w:rPr>
                <w:rFonts w:ascii="Calibri" w:hAnsi="Calibri"/>
                <w:sz w:val="32"/>
                <w:szCs w:val="32"/>
              </w:rPr>
            </w:pPr>
          </w:p>
        </w:tc>
        <w:tc>
          <w:tcPr>
            <w:tcW w:w="8290" w:type="dxa"/>
            <w:shd w:val="clear" w:color="auto" w:fill="FFFFFF" w:themeFill="background1"/>
          </w:tcPr>
          <w:p w:rsidR="000F6D2A" w:rsidRPr="00934D18" w:rsidRDefault="000F6D2A" w:rsidP="00934D18">
            <w:pPr>
              <w:jc w:val="center"/>
              <w:rPr>
                <w:rFonts w:ascii="Calibri" w:hAnsi="Calibri"/>
                <w:sz w:val="32"/>
                <w:szCs w:val="32"/>
              </w:rPr>
            </w:pPr>
            <w:r>
              <w:rPr>
                <w:rFonts w:ascii="Calibri" w:hAnsi="Calibri"/>
                <w:sz w:val="32"/>
                <w:szCs w:val="32"/>
              </w:rPr>
              <w:t>Theme:  What is SCRM?  (general awareness)</w:t>
            </w:r>
          </w:p>
        </w:tc>
      </w:tr>
      <w:tr w:rsidR="00934D18" w:rsidTr="000F6D2A">
        <w:tc>
          <w:tcPr>
            <w:tcW w:w="1286" w:type="dxa"/>
          </w:tcPr>
          <w:p w:rsidR="00934D18" w:rsidRPr="00934D18" w:rsidRDefault="00934D18" w:rsidP="00934D18">
            <w:pPr>
              <w:pStyle w:val="ListParagraph"/>
              <w:numPr>
                <w:ilvl w:val="0"/>
                <w:numId w:val="2"/>
              </w:numPr>
              <w:rPr>
                <w:rFonts w:ascii="Calibri" w:hAnsi="Calibri"/>
                <w:sz w:val="24"/>
              </w:rPr>
            </w:pPr>
          </w:p>
        </w:tc>
        <w:tc>
          <w:tcPr>
            <w:tcW w:w="8290" w:type="dxa"/>
          </w:tcPr>
          <w:p w:rsidR="00934D18" w:rsidRPr="006C25E0" w:rsidRDefault="003D3213" w:rsidP="0064786B">
            <w:r w:rsidRPr="006C25E0">
              <w:t>S</w:t>
            </w:r>
            <w:r w:rsidR="0064786B" w:rsidRPr="006C25E0">
              <w:t xml:space="preserve">upply </w:t>
            </w:r>
            <w:r w:rsidRPr="006C25E0">
              <w:t>C</w:t>
            </w:r>
            <w:r w:rsidR="0064786B" w:rsidRPr="006C25E0">
              <w:t xml:space="preserve">hain </w:t>
            </w:r>
            <w:r w:rsidRPr="006C25E0">
              <w:t>R</w:t>
            </w:r>
            <w:r w:rsidR="0064786B" w:rsidRPr="006C25E0">
              <w:t xml:space="preserve">isk </w:t>
            </w:r>
            <w:r w:rsidRPr="006C25E0">
              <w:t>M</w:t>
            </w:r>
            <w:r w:rsidR="0064786B" w:rsidRPr="006C25E0">
              <w:t>anagement (SCRM)</w:t>
            </w:r>
            <w:r w:rsidRPr="006C25E0">
              <w:t xml:space="preserve"> reduces supply chain vulnerabilities designed to exploit information systems</w:t>
            </w:r>
            <w:r w:rsidR="004F443C" w:rsidRPr="006C25E0">
              <w:t>.</w:t>
            </w:r>
          </w:p>
        </w:tc>
      </w:tr>
      <w:tr w:rsidR="007F0CD2" w:rsidTr="000F6D2A">
        <w:tc>
          <w:tcPr>
            <w:tcW w:w="1286" w:type="dxa"/>
          </w:tcPr>
          <w:p w:rsidR="007F0CD2" w:rsidRPr="00934D18" w:rsidRDefault="007F0CD2" w:rsidP="00934D18">
            <w:pPr>
              <w:pStyle w:val="ListParagraph"/>
              <w:numPr>
                <w:ilvl w:val="0"/>
                <w:numId w:val="2"/>
              </w:numPr>
              <w:rPr>
                <w:rFonts w:ascii="Calibri" w:hAnsi="Calibri"/>
                <w:sz w:val="24"/>
              </w:rPr>
            </w:pPr>
          </w:p>
        </w:tc>
        <w:tc>
          <w:tcPr>
            <w:tcW w:w="8290" w:type="dxa"/>
          </w:tcPr>
          <w:p w:rsidR="007F0CD2" w:rsidRPr="006C25E0" w:rsidRDefault="0064786B" w:rsidP="00AE75B5">
            <w:pPr>
              <w:pStyle w:val="ListBullet"/>
              <w:numPr>
                <w:ilvl w:val="0"/>
                <w:numId w:val="0"/>
              </w:numPr>
              <w:ind w:left="360" w:hanging="360"/>
              <w:rPr>
                <w:sz w:val="22"/>
                <w:szCs w:val="22"/>
              </w:rPr>
            </w:pPr>
            <w:r w:rsidRPr="006C25E0">
              <w:rPr>
                <w:sz w:val="22"/>
                <w:szCs w:val="22"/>
              </w:rPr>
              <w:t>Supply Chain Risk Management (</w:t>
            </w:r>
            <w:r w:rsidR="003D3213" w:rsidRPr="006C25E0">
              <w:rPr>
                <w:sz w:val="22"/>
                <w:szCs w:val="22"/>
              </w:rPr>
              <w:t>SCRM</w:t>
            </w:r>
            <w:r w:rsidRPr="006C25E0">
              <w:rPr>
                <w:sz w:val="22"/>
                <w:szCs w:val="22"/>
              </w:rPr>
              <w:t>)</w:t>
            </w:r>
            <w:r w:rsidR="003D3213" w:rsidRPr="006C25E0">
              <w:rPr>
                <w:sz w:val="22"/>
                <w:szCs w:val="22"/>
              </w:rPr>
              <w:t xml:space="preserve"> provides for a secure safer online experience</w:t>
            </w:r>
            <w:r w:rsidR="004F443C" w:rsidRPr="006C25E0">
              <w:rPr>
                <w:sz w:val="22"/>
                <w:szCs w:val="22"/>
              </w:rPr>
              <w:t>.</w:t>
            </w:r>
          </w:p>
        </w:tc>
      </w:tr>
      <w:tr w:rsidR="007F0CD2" w:rsidTr="000F6D2A">
        <w:tc>
          <w:tcPr>
            <w:tcW w:w="1286" w:type="dxa"/>
          </w:tcPr>
          <w:p w:rsidR="007F0CD2" w:rsidRPr="00934D18" w:rsidRDefault="007F0CD2" w:rsidP="00934D18">
            <w:pPr>
              <w:pStyle w:val="ListParagraph"/>
              <w:numPr>
                <w:ilvl w:val="0"/>
                <w:numId w:val="2"/>
              </w:numPr>
              <w:rPr>
                <w:rFonts w:ascii="Calibri" w:hAnsi="Calibri"/>
                <w:sz w:val="24"/>
              </w:rPr>
            </w:pPr>
          </w:p>
        </w:tc>
        <w:tc>
          <w:tcPr>
            <w:tcW w:w="8290" w:type="dxa"/>
          </w:tcPr>
          <w:p w:rsidR="007F0CD2" w:rsidRPr="006C25E0" w:rsidRDefault="003D3213" w:rsidP="003D3213">
            <w:pPr>
              <w:pStyle w:val="ListBullet"/>
              <w:numPr>
                <w:ilvl w:val="0"/>
                <w:numId w:val="0"/>
              </w:numPr>
              <w:ind w:left="360" w:hanging="360"/>
              <w:rPr>
                <w:sz w:val="22"/>
                <w:szCs w:val="22"/>
              </w:rPr>
            </w:pPr>
            <w:r w:rsidRPr="006C25E0">
              <w:rPr>
                <w:rFonts w:ascii="Calibri" w:hAnsi="Calibri"/>
                <w:sz w:val="22"/>
                <w:szCs w:val="22"/>
              </w:rPr>
              <w:t>People, Processes, and Technology are critical to securing the IT supply chain</w:t>
            </w:r>
            <w:r w:rsidR="004F443C" w:rsidRPr="006C25E0">
              <w:rPr>
                <w:rFonts w:ascii="Calibri" w:hAnsi="Calibri"/>
                <w:sz w:val="22"/>
                <w:szCs w:val="22"/>
              </w:rPr>
              <w:t>.</w:t>
            </w:r>
          </w:p>
        </w:tc>
      </w:tr>
      <w:tr w:rsidR="007F0CD2" w:rsidTr="000F6D2A">
        <w:tc>
          <w:tcPr>
            <w:tcW w:w="1286" w:type="dxa"/>
          </w:tcPr>
          <w:p w:rsidR="007F0CD2" w:rsidRPr="00934D18" w:rsidRDefault="007F0CD2" w:rsidP="00934D18">
            <w:pPr>
              <w:pStyle w:val="ListParagraph"/>
              <w:numPr>
                <w:ilvl w:val="0"/>
                <w:numId w:val="2"/>
              </w:numPr>
              <w:rPr>
                <w:rFonts w:ascii="Calibri" w:hAnsi="Calibri"/>
                <w:sz w:val="24"/>
              </w:rPr>
            </w:pPr>
          </w:p>
        </w:tc>
        <w:tc>
          <w:tcPr>
            <w:tcW w:w="8290" w:type="dxa"/>
          </w:tcPr>
          <w:p w:rsidR="007F0CD2" w:rsidRPr="006C25E0" w:rsidRDefault="00AE75B5" w:rsidP="00934D18">
            <w:r w:rsidRPr="006C25E0">
              <w:t>A secure IT supply chain provides integrity to our classified and high unclassified systems</w:t>
            </w:r>
            <w:r w:rsidR="004F443C" w:rsidRPr="006C25E0">
              <w:t>.</w:t>
            </w:r>
          </w:p>
        </w:tc>
      </w:tr>
      <w:tr w:rsidR="007F0CD2" w:rsidTr="000F6D2A">
        <w:tc>
          <w:tcPr>
            <w:tcW w:w="1286" w:type="dxa"/>
          </w:tcPr>
          <w:p w:rsidR="007F0CD2" w:rsidRPr="00934D18" w:rsidRDefault="007F0CD2" w:rsidP="00934D18">
            <w:pPr>
              <w:pStyle w:val="ListParagraph"/>
              <w:numPr>
                <w:ilvl w:val="0"/>
                <w:numId w:val="2"/>
              </w:numPr>
              <w:rPr>
                <w:rFonts w:ascii="Calibri" w:hAnsi="Calibri"/>
                <w:sz w:val="24"/>
              </w:rPr>
            </w:pPr>
          </w:p>
        </w:tc>
        <w:tc>
          <w:tcPr>
            <w:tcW w:w="8290" w:type="dxa"/>
          </w:tcPr>
          <w:p w:rsidR="007F0CD2" w:rsidRPr="006C25E0" w:rsidRDefault="0064786B" w:rsidP="00934D18">
            <w:r w:rsidRPr="006C25E0">
              <w:t>SCRM provides</w:t>
            </w:r>
            <w:r w:rsidR="00AE75B5" w:rsidRPr="006C25E0">
              <w:t xml:space="preserve"> processes that if altered, interrupted, or halted could result in mission failure</w:t>
            </w:r>
            <w:r w:rsidR="004F443C" w:rsidRPr="006C25E0">
              <w:t>.</w:t>
            </w:r>
          </w:p>
        </w:tc>
      </w:tr>
      <w:tr w:rsidR="00AE75B5" w:rsidTr="000F6D2A">
        <w:tc>
          <w:tcPr>
            <w:tcW w:w="1286" w:type="dxa"/>
          </w:tcPr>
          <w:p w:rsidR="00AE75B5" w:rsidRPr="00934D18" w:rsidRDefault="00AE75B5" w:rsidP="00934D18">
            <w:pPr>
              <w:pStyle w:val="ListParagraph"/>
              <w:numPr>
                <w:ilvl w:val="0"/>
                <w:numId w:val="2"/>
              </w:numPr>
              <w:rPr>
                <w:rFonts w:ascii="Calibri" w:hAnsi="Calibri"/>
                <w:sz w:val="24"/>
              </w:rPr>
            </w:pPr>
          </w:p>
        </w:tc>
        <w:tc>
          <w:tcPr>
            <w:tcW w:w="8290" w:type="dxa"/>
          </w:tcPr>
          <w:p w:rsidR="00AE75B5" w:rsidRPr="006C25E0" w:rsidRDefault="00AE75B5" w:rsidP="009D602E">
            <w:r w:rsidRPr="006C25E0">
              <w:t xml:space="preserve">SCRM </w:t>
            </w:r>
            <w:r w:rsidR="009D602E" w:rsidRPr="006C25E0">
              <w:t>mitigates</w:t>
            </w:r>
            <w:r w:rsidRPr="006C25E0">
              <w:t xml:space="preserve"> vulnerabilities in information and communication technology products and services that are exploited</w:t>
            </w:r>
            <w:r w:rsidR="004F443C" w:rsidRPr="006C25E0">
              <w:t>.</w:t>
            </w:r>
          </w:p>
        </w:tc>
      </w:tr>
      <w:tr w:rsidR="007F0CD2" w:rsidTr="000F6D2A">
        <w:tc>
          <w:tcPr>
            <w:tcW w:w="1286" w:type="dxa"/>
          </w:tcPr>
          <w:p w:rsidR="007F0CD2" w:rsidRPr="00934D18" w:rsidRDefault="007F0CD2" w:rsidP="00934D18">
            <w:pPr>
              <w:pStyle w:val="ListParagraph"/>
              <w:numPr>
                <w:ilvl w:val="0"/>
                <w:numId w:val="2"/>
              </w:numPr>
              <w:rPr>
                <w:rFonts w:ascii="Calibri" w:hAnsi="Calibri"/>
                <w:sz w:val="24"/>
              </w:rPr>
            </w:pPr>
          </w:p>
        </w:tc>
        <w:tc>
          <w:tcPr>
            <w:tcW w:w="8290" w:type="dxa"/>
          </w:tcPr>
          <w:p w:rsidR="007F0CD2" w:rsidRPr="006C25E0" w:rsidRDefault="00AE75B5" w:rsidP="009D602E">
            <w:r w:rsidRPr="006C25E0">
              <w:t xml:space="preserve">SCRM is inspecting </w:t>
            </w:r>
            <w:r w:rsidR="009D602E" w:rsidRPr="006C25E0">
              <w:t>critical</w:t>
            </w:r>
            <w:r w:rsidRPr="006C25E0">
              <w:t xml:space="preserve"> products for evidence of unauthorized tampering and modification after repair</w:t>
            </w:r>
            <w:r w:rsidR="004F443C" w:rsidRPr="006C25E0">
              <w:t>.</w:t>
            </w:r>
          </w:p>
        </w:tc>
      </w:tr>
      <w:tr w:rsidR="00294860" w:rsidTr="000F6D2A">
        <w:tc>
          <w:tcPr>
            <w:tcW w:w="1286" w:type="dxa"/>
          </w:tcPr>
          <w:p w:rsidR="00294860" w:rsidRPr="00934D18" w:rsidRDefault="00294860" w:rsidP="00934D18">
            <w:pPr>
              <w:pStyle w:val="ListParagraph"/>
              <w:numPr>
                <w:ilvl w:val="0"/>
                <w:numId w:val="2"/>
              </w:numPr>
              <w:rPr>
                <w:rFonts w:ascii="Calibri" w:hAnsi="Calibri"/>
                <w:sz w:val="24"/>
              </w:rPr>
            </w:pPr>
          </w:p>
        </w:tc>
        <w:tc>
          <w:tcPr>
            <w:tcW w:w="8290" w:type="dxa"/>
          </w:tcPr>
          <w:p w:rsidR="00294860" w:rsidRPr="006C25E0" w:rsidRDefault="00AE75B5" w:rsidP="0064786B">
            <w:r w:rsidRPr="006C25E0">
              <w:t xml:space="preserve">SCRM is implementing </w:t>
            </w:r>
            <w:r w:rsidR="006C25E0" w:rsidRPr="006C25E0">
              <w:t>standardized practices that ensure</w:t>
            </w:r>
            <w:r w:rsidR="009D602E" w:rsidRPr="006C25E0">
              <w:t xml:space="preserve"> products are not altered, or </w:t>
            </w:r>
            <w:r w:rsidRPr="006C25E0">
              <w:t>counterfeited</w:t>
            </w:r>
            <w:r w:rsidR="004F443C" w:rsidRPr="006C25E0">
              <w:t>.</w:t>
            </w:r>
          </w:p>
        </w:tc>
      </w:tr>
      <w:tr w:rsidR="00294860" w:rsidTr="000F6D2A">
        <w:tc>
          <w:tcPr>
            <w:tcW w:w="1286" w:type="dxa"/>
          </w:tcPr>
          <w:p w:rsidR="00294860" w:rsidRPr="00934D18" w:rsidRDefault="00294860" w:rsidP="00934D18">
            <w:pPr>
              <w:pStyle w:val="ListParagraph"/>
              <w:numPr>
                <w:ilvl w:val="0"/>
                <w:numId w:val="2"/>
              </w:numPr>
              <w:rPr>
                <w:rFonts w:ascii="Calibri" w:hAnsi="Calibri"/>
                <w:sz w:val="24"/>
              </w:rPr>
            </w:pPr>
          </w:p>
        </w:tc>
        <w:tc>
          <w:tcPr>
            <w:tcW w:w="8290" w:type="dxa"/>
          </w:tcPr>
          <w:p w:rsidR="00294860" w:rsidRPr="006C25E0" w:rsidRDefault="009D602E" w:rsidP="009D602E">
            <w:r w:rsidRPr="006C25E0">
              <w:t>Product i</w:t>
            </w:r>
            <w:r w:rsidR="00AE75B5" w:rsidRPr="006C25E0">
              <w:t xml:space="preserve">ntegrity </w:t>
            </w:r>
            <w:r w:rsidRPr="006C25E0">
              <w:t>m</w:t>
            </w:r>
            <w:r w:rsidR="00AE75B5" w:rsidRPr="006C25E0">
              <w:t>eans the delivered product operates free from deliberate or inadvertent manipulation</w:t>
            </w:r>
            <w:r w:rsidR="004F443C" w:rsidRPr="006C25E0">
              <w:t>.</w:t>
            </w:r>
          </w:p>
        </w:tc>
      </w:tr>
      <w:tr w:rsidR="00AE75B5" w:rsidTr="000F6D2A">
        <w:tc>
          <w:tcPr>
            <w:tcW w:w="1286" w:type="dxa"/>
          </w:tcPr>
          <w:p w:rsidR="00AE75B5" w:rsidRPr="00934D18" w:rsidRDefault="00AE75B5" w:rsidP="00934D18">
            <w:pPr>
              <w:pStyle w:val="ListParagraph"/>
              <w:numPr>
                <w:ilvl w:val="0"/>
                <w:numId w:val="2"/>
              </w:numPr>
              <w:rPr>
                <w:rFonts w:ascii="Calibri" w:hAnsi="Calibri"/>
                <w:sz w:val="24"/>
              </w:rPr>
            </w:pPr>
          </w:p>
        </w:tc>
        <w:tc>
          <w:tcPr>
            <w:tcW w:w="8290" w:type="dxa"/>
          </w:tcPr>
          <w:p w:rsidR="00AE75B5" w:rsidRPr="006C25E0" w:rsidRDefault="00667942" w:rsidP="0064786B">
            <w:r w:rsidRPr="006C25E0">
              <w:t xml:space="preserve">SCRM </w:t>
            </w:r>
            <w:r w:rsidR="0064786B" w:rsidRPr="006C25E0">
              <w:t>encourages best</w:t>
            </w:r>
            <w:r w:rsidRPr="006C25E0">
              <w:t xml:space="preserve"> practices </w:t>
            </w:r>
            <w:r w:rsidR="0064786B" w:rsidRPr="006C25E0">
              <w:t>by</w:t>
            </w:r>
            <w:r w:rsidRPr="006C25E0">
              <w:t xml:space="preserve"> the supplier to deliver services with necessary confidentiality, integrity, and availability</w:t>
            </w:r>
            <w:r w:rsidR="004F443C" w:rsidRPr="006C25E0">
              <w:t>.</w:t>
            </w:r>
          </w:p>
        </w:tc>
      </w:tr>
      <w:tr w:rsidR="003D3213" w:rsidTr="000F6D2A">
        <w:tc>
          <w:tcPr>
            <w:tcW w:w="1286" w:type="dxa"/>
          </w:tcPr>
          <w:p w:rsidR="003D3213" w:rsidRPr="00934D18" w:rsidRDefault="003D3213" w:rsidP="00934D18">
            <w:pPr>
              <w:pStyle w:val="ListParagraph"/>
              <w:numPr>
                <w:ilvl w:val="0"/>
                <w:numId w:val="2"/>
              </w:numPr>
              <w:rPr>
                <w:rFonts w:ascii="Calibri" w:hAnsi="Calibri"/>
                <w:sz w:val="24"/>
              </w:rPr>
            </w:pPr>
          </w:p>
        </w:tc>
        <w:tc>
          <w:tcPr>
            <w:tcW w:w="8290" w:type="dxa"/>
          </w:tcPr>
          <w:p w:rsidR="003D3213" w:rsidRPr="006C25E0" w:rsidRDefault="002638F9" w:rsidP="0064786B">
            <w:r w:rsidRPr="006C25E0">
              <w:t>Identify and implement standards to promote process sustainability and r</w:t>
            </w:r>
            <w:r w:rsidR="0064786B" w:rsidRPr="006C25E0">
              <w:t>eliability</w:t>
            </w:r>
            <w:r w:rsidR="004A1D65" w:rsidRPr="006C25E0">
              <w:t>.</w:t>
            </w:r>
          </w:p>
        </w:tc>
      </w:tr>
      <w:tr w:rsidR="000F6D2A" w:rsidTr="000F6D2A">
        <w:tc>
          <w:tcPr>
            <w:tcW w:w="1286" w:type="dxa"/>
          </w:tcPr>
          <w:p w:rsidR="000F6D2A" w:rsidRPr="00934D18" w:rsidRDefault="000F6D2A" w:rsidP="000F6D2A">
            <w:pPr>
              <w:pStyle w:val="ListParagraph"/>
              <w:rPr>
                <w:rFonts w:ascii="Calibri" w:hAnsi="Calibri"/>
                <w:sz w:val="24"/>
              </w:rPr>
            </w:pPr>
          </w:p>
        </w:tc>
        <w:tc>
          <w:tcPr>
            <w:tcW w:w="8290" w:type="dxa"/>
          </w:tcPr>
          <w:p w:rsidR="000F6D2A" w:rsidRPr="000F6D2A" w:rsidRDefault="000F6D2A" w:rsidP="000F6D2A">
            <w:pPr>
              <w:jc w:val="center"/>
              <w:rPr>
                <w:sz w:val="32"/>
                <w:szCs w:val="32"/>
              </w:rPr>
            </w:pPr>
            <w:r w:rsidRPr="000F6D2A">
              <w:rPr>
                <w:sz w:val="32"/>
                <w:szCs w:val="32"/>
              </w:rPr>
              <w:t>Theme:  How does SCRM impact the user?</w:t>
            </w:r>
          </w:p>
        </w:tc>
      </w:tr>
      <w:tr w:rsidR="00AE1BFE" w:rsidTr="000F6D2A">
        <w:tc>
          <w:tcPr>
            <w:tcW w:w="1286" w:type="dxa"/>
          </w:tcPr>
          <w:p w:rsidR="00AE1BFE" w:rsidRPr="00934D18" w:rsidRDefault="00AE1BFE" w:rsidP="00934D18">
            <w:pPr>
              <w:pStyle w:val="ListParagraph"/>
              <w:numPr>
                <w:ilvl w:val="0"/>
                <w:numId w:val="2"/>
              </w:numPr>
              <w:rPr>
                <w:rFonts w:ascii="Calibri" w:hAnsi="Calibri"/>
                <w:sz w:val="24"/>
              </w:rPr>
            </w:pPr>
          </w:p>
        </w:tc>
        <w:tc>
          <w:tcPr>
            <w:tcW w:w="8290" w:type="dxa"/>
          </w:tcPr>
          <w:p w:rsidR="00AE1BFE" w:rsidRPr="006C25E0" w:rsidRDefault="00DE0C63" w:rsidP="00934D18">
            <w:r w:rsidRPr="006C25E0">
              <w:t>Supply Chain attacks</w:t>
            </w:r>
            <w:r w:rsidR="00AE75B5" w:rsidRPr="006C25E0">
              <w:t xml:space="preserve"> can corrupt my system and create vulnerabilities that affect my work</w:t>
            </w:r>
            <w:r w:rsidR="004F443C" w:rsidRPr="006C25E0">
              <w:t>.</w:t>
            </w:r>
          </w:p>
        </w:tc>
      </w:tr>
      <w:tr w:rsidR="00AE1BFE" w:rsidTr="000F6D2A">
        <w:trPr>
          <w:trHeight w:val="287"/>
        </w:trPr>
        <w:tc>
          <w:tcPr>
            <w:tcW w:w="1286" w:type="dxa"/>
          </w:tcPr>
          <w:p w:rsidR="00AE1BFE" w:rsidRPr="00934D18" w:rsidRDefault="00AE1BFE" w:rsidP="00934D18">
            <w:pPr>
              <w:pStyle w:val="ListParagraph"/>
              <w:numPr>
                <w:ilvl w:val="0"/>
                <w:numId w:val="2"/>
              </w:numPr>
              <w:rPr>
                <w:rFonts w:ascii="Calibri" w:hAnsi="Calibri"/>
                <w:sz w:val="24"/>
              </w:rPr>
            </w:pPr>
          </w:p>
        </w:tc>
        <w:tc>
          <w:tcPr>
            <w:tcW w:w="8290" w:type="dxa"/>
          </w:tcPr>
          <w:p w:rsidR="00AE1BFE" w:rsidRPr="006C25E0" w:rsidRDefault="00DE0C63" w:rsidP="00AE75B5">
            <w:pPr>
              <w:pStyle w:val="ListBullet"/>
              <w:numPr>
                <w:ilvl w:val="0"/>
                <w:numId w:val="0"/>
              </w:numPr>
              <w:ind w:left="360" w:hanging="360"/>
              <w:rPr>
                <w:sz w:val="22"/>
                <w:szCs w:val="22"/>
              </w:rPr>
            </w:pPr>
            <w:r w:rsidRPr="006C25E0">
              <w:rPr>
                <w:rFonts w:ascii="Calibri" w:hAnsi="Calibri"/>
                <w:sz w:val="22"/>
                <w:szCs w:val="22"/>
              </w:rPr>
              <w:t>Protection of</w:t>
            </w:r>
            <w:r w:rsidR="00AE75B5" w:rsidRPr="006C25E0">
              <w:rPr>
                <w:rFonts w:ascii="Calibri" w:hAnsi="Calibri"/>
                <w:sz w:val="22"/>
                <w:szCs w:val="22"/>
              </w:rPr>
              <w:t xml:space="preserve"> all devices that connect to the internet</w:t>
            </w:r>
            <w:r w:rsidRPr="006C25E0">
              <w:rPr>
                <w:rFonts w:ascii="Calibri" w:hAnsi="Calibri"/>
                <w:sz w:val="22"/>
                <w:szCs w:val="22"/>
              </w:rPr>
              <w:t xml:space="preserve"> is everyone’s responsibility</w:t>
            </w:r>
            <w:r w:rsidR="004F443C" w:rsidRPr="006C25E0">
              <w:rPr>
                <w:rFonts w:ascii="Calibri" w:hAnsi="Calibri"/>
                <w:sz w:val="22"/>
                <w:szCs w:val="22"/>
              </w:rPr>
              <w:t>.</w:t>
            </w:r>
          </w:p>
        </w:tc>
      </w:tr>
      <w:tr w:rsidR="00AE1BFE" w:rsidTr="000F6D2A">
        <w:tc>
          <w:tcPr>
            <w:tcW w:w="1286" w:type="dxa"/>
          </w:tcPr>
          <w:p w:rsidR="00AE1BFE" w:rsidRPr="00934D18" w:rsidRDefault="00AE1BFE" w:rsidP="00934D18">
            <w:pPr>
              <w:pStyle w:val="ListParagraph"/>
              <w:numPr>
                <w:ilvl w:val="0"/>
                <w:numId w:val="2"/>
              </w:numPr>
              <w:rPr>
                <w:rFonts w:ascii="Calibri" w:hAnsi="Calibri"/>
                <w:sz w:val="24"/>
              </w:rPr>
            </w:pPr>
          </w:p>
        </w:tc>
        <w:tc>
          <w:tcPr>
            <w:tcW w:w="8290" w:type="dxa"/>
          </w:tcPr>
          <w:p w:rsidR="00AE1BFE" w:rsidRPr="006C25E0" w:rsidRDefault="00090750" w:rsidP="00934D18">
            <w:r w:rsidRPr="006C25E0">
              <w:t>Supply Chain security is a shared responsibility between acquirer, supplier, and user</w:t>
            </w:r>
            <w:r w:rsidR="004F443C" w:rsidRPr="006C25E0">
              <w:t>.</w:t>
            </w:r>
          </w:p>
        </w:tc>
      </w:tr>
      <w:tr w:rsidR="00AE1BFE" w:rsidTr="000F6D2A">
        <w:tc>
          <w:tcPr>
            <w:tcW w:w="1286" w:type="dxa"/>
          </w:tcPr>
          <w:p w:rsidR="00AE1BFE" w:rsidRPr="00934D18" w:rsidRDefault="00AE1BFE" w:rsidP="00934D18">
            <w:pPr>
              <w:pStyle w:val="ListParagraph"/>
              <w:numPr>
                <w:ilvl w:val="0"/>
                <w:numId w:val="2"/>
              </w:numPr>
              <w:rPr>
                <w:rFonts w:ascii="Calibri" w:hAnsi="Calibri"/>
                <w:sz w:val="24"/>
              </w:rPr>
            </w:pPr>
          </w:p>
        </w:tc>
        <w:tc>
          <w:tcPr>
            <w:tcW w:w="8290" w:type="dxa"/>
          </w:tcPr>
          <w:p w:rsidR="00AE1BFE" w:rsidRPr="006C25E0" w:rsidRDefault="00AD3652" w:rsidP="004F443C">
            <w:r w:rsidRPr="006C25E0">
              <w:t>Knowledge is power – understanding that there are threats in the supply chain is the first step in protecting yourself and DOE assets</w:t>
            </w:r>
            <w:r w:rsidR="004F443C" w:rsidRPr="006C25E0">
              <w:t>.</w:t>
            </w:r>
          </w:p>
        </w:tc>
      </w:tr>
      <w:tr w:rsidR="00090750" w:rsidTr="000F6D2A">
        <w:tc>
          <w:tcPr>
            <w:tcW w:w="1286" w:type="dxa"/>
          </w:tcPr>
          <w:p w:rsidR="00090750" w:rsidRPr="00934D18" w:rsidRDefault="00090750" w:rsidP="00934D18">
            <w:pPr>
              <w:pStyle w:val="ListParagraph"/>
              <w:numPr>
                <w:ilvl w:val="0"/>
                <w:numId w:val="2"/>
              </w:numPr>
              <w:rPr>
                <w:rFonts w:ascii="Calibri" w:hAnsi="Calibri"/>
                <w:sz w:val="24"/>
              </w:rPr>
            </w:pPr>
          </w:p>
        </w:tc>
        <w:tc>
          <w:tcPr>
            <w:tcW w:w="8290" w:type="dxa"/>
          </w:tcPr>
          <w:p w:rsidR="00090750" w:rsidRPr="006C25E0" w:rsidRDefault="00AD3652" w:rsidP="004F443C">
            <w:r w:rsidRPr="006C25E0">
              <w:t>Do you know where that thumb drive has been?  Embedded malware is a common SCRM threat; protect yourself by scanning all external media at home and in the workplace</w:t>
            </w:r>
            <w:r w:rsidR="004F443C" w:rsidRPr="006C25E0">
              <w:t>.</w:t>
            </w:r>
          </w:p>
        </w:tc>
      </w:tr>
      <w:tr w:rsidR="00CE46A6" w:rsidTr="000F6D2A">
        <w:tc>
          <w:tcPr>
            <w:tcW w:w="1286" w:type="dxa"/>
          </w:tcPr>
          <w:p w:rsidR="00CE46A6" w:rsidRPr="00934D18" w:rsidRDefault="00CE46A6" w:rsidP="00934D18">
            <w:pPr>
              <w:pStyle w:val="ListParagraph"/>
              <w:numPr>
                <w:ilvl w:val="0"/>
                <w:numId w:val="2"/>
              </w:numPr>
              <w:rPr>
                <w:rFonts w:ascii="Calibri" w:hAnsi="Calibri"/>
                <w:sz w:val="24"/>
              </w:rPr>
            </w:pPr>
          </w:p>
        </w:tc>
        <w:tc>
          <w:tcPr>
            <w:tcW w:w="8290" w:type="dxa"/>
          </w:tcPr>
          <w:p w:rsidR="00CE46A6" w:rsidRPr="006C25E0" w:rsidRDefault="00DD5924" w:rsidP="004F443C">
            <w:r w:rsidRPr="006C25E0">
              <w:t>Have you received a promotional CD or thumb drive from a vendor lately?  Be sure to scan all external media – even media provided as marketing material – to help mitigate supply chain threats</w:t>
            </w:r>
            <w:r w:rsidR="004F443C" w:rsidRPr="006C25E0">
              <w:t>.</w:t>
            </w:r>
            <w:r w:rsidRPr="006C25E0">
              <w:t xml:space="preserve"> </w:t>
            </w:r>
          </w:p>
        </w:tc>
      </w:tr>
      <w:tr w:rsidR="000F6D2A" w:rsidTr="000F6D2A">
        <w:tc>
          <w:tcPr>
            <w:tcW w:w="1286" w:type="dxa"/>
          </w:tcPr>
          <w:p w:rsidR="000F6D2A" w:rsidRPr="000F6D2A" w:rsidRDefault="000F6D2A" w:rsidP="000F6D2A">
            <w:pPr>
              <w:rPr>
                <w:rFonts w:ascii="Calibri" w:hAnsi="Calibri"/>
                <w:sz w:val="24"/>
              </w:rPr>
            </w:pPr>
          </w:p>
        </w:tc>
        <w:tc>
          <w:tcPr>
            <w:tcW w:w="8290" w:type="dxa"/>
          </w:tcPr>
          <w:p w:rsidR="000F6D2A" w:rsidRPr="000F6D2A" w:rsidRDefault="000F6D2A" w:rsidP="000F6D2A">
            <w:pPr>
              <w:jc w:val="center"/>
              <w:rPr>
                <w:sz w:val="32"/>
                <w:szCs w:val="32"/>
              </w:rPr>
            </w:pPr>
            <w:r w:rsidRPr="000F6D2A">
              <w:rPr>
                <w:sz w:val="32"/>
                <w:szCs w:val="32"/>
              </w:rPr>
              <w:t>Theme:  What is the Supply Chain Threat?</w:t>
            </w:r>
          </w:p>
        </w:tc>
      </w:tr>
      <w:tr w:rsidR="00665CBE" w:rsidTr="000F6D2A">
        <w:tc>
          <w:tcPr>
            <w:tcW w:w="1286" w:type="dxa"/>
          </w:tcPr>
          <w:p w:rsidR="00665CBE" w:rsidRPr="00934D18" w:rsidRDefault="00665CBE" w:rsidP="00934D18">
            <w:pPr>
              <w:pStyle w:val="ListParagraph"/>
              <w:numPr>
                <w:ilvl w:val="0"/>
                <w:numId w:val="2"/>
              </w:numPr>
              <w:rPr>
                <w:rFonts w:ascii="Calibri" w:hAnsi="Calibri"/>
                <w:sz w:val="24"/>
              </w:rPr>
            </w:pPr>
          </w:p>
        </w:tc>
        <w:tc>
          <w:tcPr>
            <w:tcW w:w="8290" w:type="dxa"/>
          </w:tcPr>
          <w:p w:rsidR="00665CBE" w:rsidRPr="006C25E0" w:rsidRDefault="00665CBE" w:rsidP="0010788A">
            <w:pPr>
              <w:pStyle w:val="Default"/>
              <w:rPr>
                <w:rFonts w:asciiTheme="minorHAnsi" w:hAnsiTheme="minorHAnsi"/>
                <w:sz w:val="22"/>
                <w:szCs w:val="22"/>
              </w:rPr>
            </w:pPr>
            <w:r w:rsidRPr="006C25E0">
              <w:rPr>
                <w:rFonts w:asciiTheme="minorHAnsi" w:hAnsiTheme="minorHAnsi"/>
                <w:color w:val="auto"/>
                <w:sz w:val="22"/>
                <w:szCs w:val="22"/>
              </w:rPr>
              <w:t>Supply chain threats impact all users at home and work.  Be vigilant to procure personal hardware and software from reputable vendors to help mitigate supply chain threats such as counterfeit or embedded malware.</w:t>
            </w:r>
          </w:p>
        </w:tc>
      </w:tr>
      <w:tr w:rsidR="00B86E64" w:rsidTr="000F6D2A">
        <w:tc>
          <w:tcPr>
            <w:tcW w:w="1286" w:type="dxa"/>
          </w:tcPr>
          <w:p w:rsidR="00B86E64" w:rsidRPr="00934D18" w:rsidRDefault="00B86E64" w:rsidP="00934D18">
            <w:pPr>
              <w:pStyle w:val="ListParagraph"/>
              <w:numPr>
                <w:ilvl w:val="0"/>
                <w:numId w:val="2"/>
              </w:numPr>
              <w:rPr>
                <w:rFonts w:ascii="Calibri" w:hAnsi="Calibri"/>
                <w:sz w:val="24"/>
              </w:rPr>
            </w:pPr>
          </w:p>
        </w:tc>
        <w:tc>
          <w:tcPr>
            <w:tcW w:w="8290" w:type="dxa"/>
          </w:tcPr>
          <w:p w:rsidR="00B86E64" w:rsidRPr="006C25E0" w:rsidRDefault="00090750" w:rsidP="0010788A">
            <w:pPr>
              <w:pStyle w:val="Default"/>
              <w:rPr>
                <w:rFonts w:asciiTheme="minorHAnsi" w:hAnsiTheme="minorHAnsi"/>
                <w:sz w:val="22"/>
                <w:szCs w:val="22"/>
              </w:rPr>
            </w:pPr>
            <w:r w:rsidRPr="006C25E0">
              <w:rPr>
                <w:rFonts w:asciiTheme="minorHAnsi" w:hAnsiTheme="minorHAnsi"/>
                <w:sz w:val="22"/>
                <w:szCs w:val="22"/>
              </w:rPr>
              <w:t>Supply Chain threats can cause catastrophic failures within our IT systems and components of our system</w:t>
            </w:r>
            <w:r w:rsidR="004F443C" w:rsidRPr="006C25E0">
              <w:rPr>
                <w:rFonts w:asciiTheme="minorHAnsi" w:hAnsiTheme="minorHAnsi"/>
                <w:sz w:val="22"/>
                <w:szCs w:val="22"/>
              </w:rPr>
              <w:t>.</w:t>
            </w:r>
          </w:p>
        </w:tc>
      </w:tr>
      <w:tr w:rsidR="00F62524" w:rsidTr="000F6D2A">
        <w:tc>
          <w:tcPr>
            <w:tcW w:w="1286" w:type="dxa"/>
          </w:tcPr>
          <w:p w:rsidR="00F62524" w:rsidRPr="00934D18" w:rsidRDefault="00F62524" w:rsidP="00934D18">
            <w:pPr>
              <w:pStyle w:val="ListParagraph"/>
              <w:numPr>
                <w:ilvl w:val="0"/>
                <w:numId w:val="2"/>
              </w:numPr>
              <w:rPr>
                <w:rFonts w:ascii="Calibri" w:hAnsi="Calibri"/>
                <w:sz w:val="24"/>
              </w:rPr>
            </w:pPr>
          </w:p>
        </w:tc>
        <w:tc>
          <w:tcPr>
            <w:tcW w:w="8290" w:type="dxa"/>
          </w:tcPr>
          <w:p w:rsidR="00F62524" w:rsidRPr="006C25E0" w:rsidRDefault="00090750" w:rsidP="00090750">
            <w:pPr>
              <w:pStyle w:val="ListBullet"/>
              <w:numPr>
                <w:ilvl w:val="0"/>
                <w:numId w:val="0"/>
              </w:numPr>
              <w:ind w:left="360" w:hanging="360"/>
              <w:rPr>
                <w:sz w:val="22"/>
                <w:szCs w:val="22"/>
              </w:rPr>
            </w:pPr>
            <w:r w:rsidRPr="006C25E0">
              <w:rPr>
                <w:sz w:val="22"/>
                <w:szCs w:val="22"/>
              </w:rPr>
              <w:t>Counterfeit IT components create system vulnerabilities across the Federal IT space</w:t>
            </w:r>
            <w:r w:rsidR="004F443C" w:rsidRPr="006C25E0">
              <w:rPr>
                <w:sz w:val="22"/>
                <w:szCs w:val="22"/>
              </w:rPr>
              <w:t>.</w:t>
            </w:r>
          </w:p>
        </w:tc>
      </w:tr>
      <w:tr w:rsidR="00090750" w:rsidTr="000F6D2A">
        <w:tc>
          <w:tcPr>
            <w:tcW w:w="1286" w:type="dxa"/>
          </w:tcPr>
          <w:p w:rsidR="00090750" w:rsidRPr="00934D18" w:rsidRDefault="00090750" w:rsidP="00934D18">
            <w:pPr>
              <w:pStyle w:val="ListParagraph"/>
              <w:numPr>
                <w:ilvl w:val="0"/>
                <w:numId w:val="2"/>
              </w:numPr>
              <w:rPr>
                <w:rFonts w:ascii="Calibri" w:hAnsi="Calibri"/>
                <w:sz w:val="24"/>
              </w:rPr>
            </w:pPr>
          </w:p>
        </w:tc>
        <w:tc>
          <w:tcPr>
            <w:tcW w:w="8290" w:type="dxa"/>
          </w:tcPr>
          <w:p w:rsidR="00090750" w:rsidRPr="006C25E0" w:rsidRDefault="00090750" w:rsidP="00090750">
            <w:pPr>
              <w:pStyle w:val="ListBullet"/>
              <w:numPr>
                <w:ilvl w:val="0"/>
                <w:numId w:val="0"/>
              </w:numPr>
              <w:rPr>
                <w:sz w:val="22"/>
                <w:szCs w:val="22"/>
              </w:rPr>
            </w:pPr>
            <w:r w:rsidRPr="006C25E0">
              <w:rPr>
                <w:sz w:val="22"/>
                <w:szCs w:val="22"/>
              </w:rPr>
              <w:t>The IT supply chain can be corrupted through the use of malicious code inserted into components prior to acceptance by DOE</w:t>
            </w:r>
            <w:r w:rsidR="004F443C" w:rsidRPr="006C25E0">
              <w:rPr>
                <w:sz w:val="22"/>
                <w:szCs w:val="22"/>
              </w:rPr>
              <w:t>.</w:t>
            </w:r>
          </w:p>
        </w:tc>
      </w:tr>
      <w:tr w:rsidR="00100D25" w:rsidTr="000F6D2A">
        <w:tc>
          <w:tcPr>
            <w:tcW w:w="1286" w:type="dxa"/>
          </w:tcPr>
          <w:p w:rsidR="00100D25" w:rsidRPr="00934D18" w:rsidRDefault="00100D25" w:rsidP="00934D18">
            <w:pPr>
              <w:pStyle w:val="ListParagraph"/>
              <w:numPr>
                <w:ilvl w:val="0"/>
                <w:numId w:val="2"/>
              </w:numPr>
              <w:rPr>
                <w:rFonts w:ascii="Calibri" w:hAnsi="Calibri"/>
                <w:sz w:val="24"/>
              </w:rPr>
            </w:pPr>
          </w:p>
        </w:tc>
        <w:tc>
          <w:tcPr>
            <w:tcW w:w="8290" w:type="dxa"/>
          </w:tcPr>
          <w:p w:rsidR="00100D25" w:rsidRPr="006C25E0" w:rsidRDefault="00090750" w:rsidP="0010788A">
            <w:pPr>
              <w:pStyle w:val="Default"/>
              <w:rPr>
                <w:rFonts w:asciiTheme="minorHAnsi" w:hAnsiTheme="minorHAnsi"/>
                <w:sz w:val="22"/>
                <w:szCs w:val="22"/>
              </w:rPr>
            </w:pPr>
            <w:r w:rsidRPr="006C25E0">
              <w:rPr>
                <w:rFonts w:asciiTheme="minorHAnsi" w:hAnsiTheme="minorHAnsi"/>
                <w:sz w:val="22"/>
                <w:szCs w:val="22"/>
              </w:rPr>
              <w:t xml:space="preserve">Insider threat across the supply chain can produce components and systems that can </w:t>
            </w:r>
            <w:r w:rsidRPr="006C25E0">
              <w:rPr>
                <w:rFonts w:asciiTheme="minorHAnsi" w:hAnsiTheme="minorHAnsi"/>
                <w:sz w:val="22"/>
                <w:szCs w:val="22"/>
              </w:rPr>
              <w:lastRenderedPageBreak/>
              <w:t>cause mission failure</w:t>
            </w:r>
            <w:r w:rsidR="004F443C" w:rsidRPr="006C25E0">
              <w:rPr>
                <w:rFonts w:asciiTheme="minorHAnsi" w:hAnsiTheme="minorHAnsi"/>
                <w:sz w:val="22"/>
                <w:szCs w:val="22"/>
              </w:rPr>
              <w:t>.</w:t>
            </w:r>
          </w:p>
        </w:tc>
      </w:tr>
      <w:tr w:rsidR="000F6D2A" w:rsidTr="000F6D2A">
        <w:tc>
          <w:tcPr>
            <w:tcW w:w="1286" w:type="dxa"/>
          </w:tcPr>
          <w:p w:rsidR="000F6D2A" w:rsidRPr="00934D18" w:rsidRDefault="000F6D2A" w:rsidP="000F6D2A">
            <w:pPr>
              <w:pStyle w:val="ListParagraph"/>
              <w:rPr>
                <w:rFonts w:ascii="Calibri" w:hAnsi="Calibri"/>
                <w:sz w:val="24"/>
              </w:rPr>
            </w:pPr>
          </w:p>
        </w:tc>
        <w:tc>
          <w:tcPr>
            <w:tcW w:w="8290" w:type="dxa"/>
          </w:tcPr>
          <w:p w:rsidR="000F6D2A" w:rsidRPr="000F6D2A" w:rsidRDefault="000F6D2A" w:rsidP="000F6D2A">
            <w:pPr>
              <w:pStyle w:val="Default"/>
              <w:jc w:val="center"/>
              <w:rPr>
                <w:rFonts w:asciiTheme="minorHAnsi" w:hAnsiTheme="minorHAnsi"/>
                <w:sz w:val="32"/>
                <w:szCs w:val="32"/>
              </w:rPr>
            </w:pPr>
            <w:r w:rsidRPr="000F6D2A">
              <w:rPr>
                <w:rFonts w:asciiTheme="minorHAnsi" w:hAnsiTheme="minorHAnsi"/>
                <w:sz w:val="32"/>
                <w:szCs w:val="32"/>
              </w:rPr>
              <w:t>Theme:  Cyber</w:t>
            </w:r>
            <w:r w:rsidR="001C71F2">
              <w:rPr>
                <w:rFonts w:asciiTheme="minorHAnsi" w:hAnsiTheme="minorHAnsi"/>
                <w:sz w:val="32"/>
                <w:szCs w:val="32"/>
              </w:rPr>
              <w:t>security</w:t>
            </w:r>
            <w:r w:rsidRPr="000F6D2A">
              <w:rPr>
                <w:rFonts w:asciiTheme="minorHAnsi" w:hAnsiTheme="minorHAnsi"/>
                <w:sz w:val="32"/>
                <w:szCs w:val="32"/>
              </w:rPr>
              <w:t>/SCRM Messages</w:t>
            </w:r>
          </w:p>
        </w:tc>
      </w:tr>
      <w:tr w:rsidR="00090750" w:rsidTr="000F6D2A">
        <w:tc>
          <w:tcPr>
            <w:tcW w:w="1286" w:type="dxa"/>
          </w:tcPr>
          <w:p w:rsidR="00090750" w:rsidRPr="00934D18" w:rsidRDefault="00090750" w:rsidP="00934D18">
            <w:pPr>
              <w:pStyle w:val="ListParagraph"/>
              <w:numPr>
                <w:ilvl w:val="0"/>
                <w:numId w:val="2"/>
              </w:numPr>
              <w:rPr>
                <w:rFonts w:ascii="Calibri" w:hAnsi="Calibri"/>
                <w:sz w:val="24"/>
              </w:rPr>
            </w:pPr>
          </w:p>
        </w:tc>
        <w:tc>
          <w:tcPr>
            <w:tcW w:w="8290" w:type="dxa"/>
          </w:tcPr>
          <w:p w:rsidR="00090750" w:rsidRPr="006C25E0" w:rsidRDefault="00DE0C63" w:rsidP="00090750">
            <w:pPr>
              <w:pStyle w:val="ListBullet"/>
              <w:numPr>
                <w:ilvl w:val="0"/>
                <w:numId w:val="0"/>
              </w:numPr>
              <w:ind w:left="360" w:hanging="360"/>
              <w:rPr>
                <w:sz w:val="22"/>
                <w:szCs w:val="22"/>
              </w:rPr>
            </w:pPr>
            <w:r w:rsidRPr="006C25E0">
              <w:rPr>
                <w:sz w:val="22"/>
                <w:szCs w:val="22"/>
              </w:rPr>
              <w:t xml:space="preserve">Understand the supply chain threat and be vigilant as you access the network. </w:t>
            </w:r>
          </w:p>
        </w:tc>
      </w:tr>
      <w:tr w:rsidR="005A5368" w:rsidTr="000F6D2A">
        <w:tc>
          <w:tcPr>
            <w:tcW w:w="1286" w:type="dxa"/>
          </w:tcPr>
          <w:p w:rsidR="005A5368" w:rsidRPr="00934D18" w:rsidRDefault="005A5368" w:rsidP="00934D18">
            <w:pPr>
              <w:pStyle w:val="ListParagraph"/>
              <w:numPr>
                <w:ilvl w:val="0"/>
                <w:numId w:val="2"/>
              </w:numPr>
              <w:rPr>
                <w:rFonts w:ascii="Calibri" w:hAnsi="Calibri"/>
                <w:sz w:val="24"/>
              </w:rPr>
            </w:pPr>
          </w:p>
        </w:tc>
        <w:tc>
          <w:tcPr>
            <w:tcW w:w="8290" w:type="dxa"/>
          </w:tcPr>
          <w:p w:rsidR="005A5368" w:rsidRPr="006C25E0" w:rsidRDefault="00321F1D" w:rsidP="00321F1D">
            <w:pPr>
              <w:autoSpaceDE w:val="0"/>
              <w:autoSpaceDN w:val="0"/>
              <w:adjustRightInd w:val="0"/>
            </w:pPr>
            <w:r w:rsidRPr="006C25E0">
              <w:rPr>
                <w:rFonts w:cs="Calibri"/>
                <w:color w:val="000000"/>
              </w:rPr>
              <w:t>When in doubt, throw it out! Don’t open suspicious links in emails, tweets, posts, and ads.</w:t>
            </w:r>
          </w:p>
        </w:tc>
      </w:tr>
      <w:tr w:rsidR="00321F1D" w:rsidTr="000F6D2A">
        <w:tc>
          <w:tcPr>
            <w:tcW w:w="1286" w:type="dxa"/>
          </w:tcPr>
          <w:p w:rsidR="00321F1D" w:rsidRPr="00934D18" w:rsidRDefault="00321F1D" w:rsidP="00934D18">
            <w:pPr>
              <w:pStyle w:val="ListParagraph"/>
              <w:numPr>
                <w:ilvl w:val="0"/>
                <w:numId w:val="2"/>
              </w:numPr>
              <w:rPr>
                <w:rFonts w:ascii="Calibri" w:hAnsi="Calibri"/>
                <w:sz w:val="24"/>
              </w:rPr>
            </w:pPr>
          </w:p>
        </w:tc>
        <w:tc>
          <w:tcPr>
            <w:tcW w:w="8290" w:type="dxa"/>
          </w:tcPr>
          <w:p w:rsidR="00321F1D" w:rsidRPr="006C25E0" w:rsidRDefault="00321F1D" w:rsidP="00321F1D">
            <w:pPr>
              <w:autoSpaceDE w:val="0"/>
              <w:autoSpaceDN w:val="0"/>
              <w:adjustRightInd w:val="0"/>
              <w:rPr>
                <w:rFonts w:cs="Calibri"/>
                <w:color w:val="000000"/>
              </w:rPr>
            </w:pPr>
            <w:r w:rsidRPr="006C25E0">
              <w:rPr>
                <w:rFonts w:cs="Calibri"/>
                <w:color w:val="000000"/>
              </w:rPr>
              <w:t xml:space="preserve">Protect </w:t>
            </w:r>
            <w:r w:rsidRPr="006C25E0">
              <w:rPr>
                <w:rFonts w:cs="Calibri"/>
                <w:i/>
                <w:color w:val="000000"/>
              </w:rPr>
              <w:t>all</w:t>
            </w:r>
            <w:r w:rsidRPr="006C25E0">
              <w:rPr>
                <w:rFonts w:cs="Calibri"/>
                <w:color w:val="000000"/>
              </w:rPr>
              <w:t xml:space="preserve"> devices that connect to the Internet. Computers, phones, and games need protection from viruses &amp; malware.</w:t>
            </w:r>
          </w:p>
        </w:tc>
      </w:tr>
      <w:tr w:rsidR="00321F1D" w:rsidTr="000F6D2A">
        <w:tc>
          <w:tcPr>
            <w:tcW w:w="1286" w:type="dxa"/>
          </w:tcPr>
          <w:p w:rsidR="00321F1D" w:rsidRPr="00934D18" w:rsidRDefault="00321F1D" w:rsidP="00934D18">
            <w:pPr>
              <w:pStyle w:val="ListParagraph"/>
              <w:numPr>
                <w:ilvl w:val="0"/>
                <w:numId w:val="2"/>
              </w:numPr>
              <w:rPr>
                <w:rFonts w:ascii="Calibri" w:hAnsi="Calibri"/>
                <w:sz w:val="24"/>
              </w:rPr>
            </w:pPr>
          </w:p>
        </w:tc>
        <w:tc>
          <w:tcPr>
            <w:tcW w:w="8290" w:type="dxa"/>
          </w:tcPr>
          <w:p w:rsidR="00321F1D" w:rsidRPr="006C25E0" w:rsidRDefault="00321F1D" w:rsidP="00321F1D">
            <w:pPr>
              <w:autoSpaceDE w:val="0"/>
              <w:autoSpaceDN w:val="0"/>
              <w:adjustRightInd w:val="0"/>
              <w:rPr>
                <w:rFonts w:cs="Calibri"/>
                <w:color w:val="000000"/>
              </w:rPr>
            </w:pPr>
            <w:r w:rsidRPr="006C25E0">
              <w:rPr>
                <w:rFonts w:cs="Calibri"/>
                <w:color w:val="000000"/>
              </w:rPr>
              <w:t>The best defense against viruses and malware is to keep a ‘clean machine.’  Always install the latest upgrades (operating system, web browser, antivirus, etc.) and run virus scans regularly.</w:t>
            </w:r>
          </w:p>
        </w:tc>
      </w:tr>
      <w:tr w:rsidR="00321F1D" w:rsidTr="000F6D2A">
        <w:tc>
          <w:tcPr>
            <w:tcW w:w="1286" w:type="dxa"/>
          </w:tcPr>
          <w:p w:rsidR="00321F1D" w:rsidRPr="00934D18" w:rsidRDefault="00321F1D" w:rsidP="00934D18">
            <w:pPr>
              <w:pStyle w:val="ListParagraph"/>
              <w:numPr>
                <w:ilvl w:val="0"/>
                <w:numId w:val="2"/>
              </w:numPr>
              <w:rPr>
                <w:rFonts w:ascii="Calibri" w:hAnsi="Calibri"/>
                <w:sz w:val="24"/>
              </w:rPr>
            </w:pPr>
          </w:p>
        </w:tc>
        <w:tc>
          <w:tcPr>
            <w:tcW w:w="8290" w:type="dxa"/>
          </w:tcPr>
          <w:p w:rsidR="00321F1D" w:rsidRPr="006C25E0" w:rsidRDefault="00321F1D" w:rsidP="00321F1D">
            <w:pPr>
              <w:autoSpaceDE w:val="0"/>
              <w:autoSpaceDN w:val="0"/>
              <w:adjustRightInd w:val="0"/>
              <w:rPr>
                <w:rFonts w:cs="Calibri"/>
                <w:color w:val="000000"/>
              </w:rPr>
            </w:pPr>
            <w:r w:rsidRPr="006C25E0">
              <w:rPr>
                <w:rFonts w:cs="Calibri"/>
              </w:rPr>
              <w:t>USBs and other external devices can be infected by viruses and malware.  Use your security software to scan them regularly.</w:t>
            </w:r>
          </w:p>
        </w:tc>
      </w:tr>
      <w:tr w:rsidR="00321F1D" w:rsidTr="000F6D2A">
        <w:tc>
          <w:tcPr>
            <w:tcW w:w="1286" w:type="dxa"/>
          </w:tcPr>
          <w:p w:rsidR="00321F1D" w:rsidRPr="00934D18" w:rsidRDefault="00321F1D" w:rsidP="00934D18">
            <w:pPr>
              <w:pStyle w:val="ListParagraph"/>
              <w:numPr>
                <w:ilvl w:val="0"/>
                <w:numId w:val="2"/>
              </w:numPr>
              <w:rPr>
                <w:rFonts w:ascii="Calibri" w:hAnsi="Calibri"/>
                <w:sz w:val="24"/>
              </w:rPr>
            </w:pPr>
          </w:p>
        </w:tc>
        <w:tc>
          <w:tcPr>
            <w:tcW w:w="8290" w:type="dxa"/>
          </w:tcPr>
          <w:p w:rsidR="00321F1D" w:rsidRPr="006C25E0" w:rsidRDefault="00321F1D" w:rsidP="00321F1D">
            <w:pPr>
              <w:autoSpaceDE w:val="0"/>
              <w:autoSpaceDN w:val="0"/>
              <w:adjustRightInd w:val="0"/>
              <w:rPr>
                <w:rFonts w:cs="Calibri"/>
              </w:rPr>
            </w:pPr>
            <w:r w:rsidRPr="006C25E0">
              <w:rPr>
                <w:rFonts w:cs="Calibri"/>
                <w:color w:val="000000"/>
              </w:rPr>
              <w:t xml:space="preserve">Many programs will automatically update to defend against known risks. Make sure your automatic update feature is turned on.  </w:t>
            </w:r>
          </w:p>
        </w:tc>
      </w:tr>
      <w:tr w:rsidR="00321F1D" w:rsidTr="000F6D2A">
        <w:tc>
          <w:tcPr>
            <w:tcW w:w="1286" w:type="dxa"/>
          </w:tcPr>
          <w:p w:rsidR="00321F1D" w:rsidRPr="00934D18" w:rsidRDefault="00321F1D" w:rsidP="00934D18">
            <w:pPr>
              <w:pStyle w:val="ListParagraph"/>
              <w:numPr>
                <w:ilvl w:val="0"/>
                <w:numId w:val="2"/>
              </w:numPr>
              <w:rPr>
                <w:rFonts w:ascii="Calibri" w:hAnsi="Calibri"/>
                <w:sz w:val="24"/>
              </w:rPr>
            </w:pPr>
          </w:p>
        </w:tc>
        <w:tc>
          <w:tcPr>
            <w:tcW w:w="8290" w:type="dxa"/>
          </w:tcPr>
          <w:p w:rsidR="00321F1D" w:rsidRPr="006C25E0" w:rsidRDefault="0059306C" w:rsidP="00321F1D">
            <w:pPr>
              <w:autoSpaceDE w:val="0"/>
              <w:autoSpaceDN w:val="0"/>
              <w:adjustRightInd w:val="0"/>
              <w:rPr>
                <w:rFonts w:cs="Calibri"/>
              </w:rPr>
            </w:pPr>
            <w:r w:rsidRPr="006C25E0">
              <w:rPr>
                <w:rFonts w:cs="Calibri"/>
              </w:rPr>
              <w:t>All users have respons</w:t>
            </w:r>
            <w:r w:rsidR="0064786B" w:rsidRPr="006C25E0">
              <w:rPr>
                <w:rFonts w:cs="Calibri"/>
              </w:rPr>
              <w:t>ibilities from protecting DOE from</w:t>
            </w:r>
            <w:r w:rsidRPr="006C25E0">
              <w:rPr>
                <w:rFonts w:cs="Calibri"/>
              </w:rPr>
              <w:t xml:space="preserve"> the supply chain threat.</w:t>
            </w:r>
          </w:p>
        </w:tc>
      </w:tr>
      <w:tr w:rsidR="00321F1D" w:rsidTr="000F6D2A">
        <w:tc>
          <w:tcPr>
            <w:tcW w:w="1286" w:type="dxa"/>
          </w:tcPr>
          <w:p w:rsidR="00321F1D" w:rsidRPr="00934D18" w:rsidRDefault="00321F1D" w:rsidP="00934D18">
            <w:pPr>
              <w:pStyle w:val="ListParagraph"/>
              <w:numPr>
                <w:ilvl w:val="0"/>
                <w:numId w:val="2"/>
              </w:numPr>
              <w:rPr>
                <w:rFonts w:ascii="Calibri" w:hAnsi="Calibri"/>
                <w:sz w:val="24"/>
              </w:rPr>
            </w:pPr>
          </w:p>
        </w:tc>
        <w:tc>
          <w:tcPr>
            <w:tcW w:w="8290" w:type="dxa"/>
          </w:tcPr>
          <w:p w:rsidR="00321F1D" w:rsidRPr="006C25E0" w:rsidRDefault="004F14C9" w:rsidP="004F14C9">
            <w:pPr>
              <w:autoSpaceDE w:val="0"/>
              <w:autoSpaceDN w:val="0"/>
              <w:adjustRightInd w:val="0"/>
              <w:rPr>
                <w:rFonts w:cs="Calibri"/>
              </w:rPr>
            </w:pPr>
            <w:r w:rsidRPr="006C25E0">
              <w:rPr>
                <w:rFonts w:cs="Calibri"/>
              </w:rPr>
              <w:t xml:space="preserve">Using the same external device in both a public computer and in a DOE network-connected computer introduces a considerable risk to the DOE computing infrastructure.  Be vigilant as to where your external devices have been used and scan all external media regularly.  </w:t>
            </w:r>
          </w:p>
        </w:tc>
      </w:tr>
      <w:tr w:rsidR="00321F1D" w:rsidTr="000F6D2A">
        <w:tc>
          <w:tcPr>
            <w:tcW w:w="1286" w:type="dxa"/>
          </w:tcPr>
          <w:p w:rsidR="00321F1D" w:rsidRPr="00934D18" w:rsidRDefault="00321F1D" w:rsidP="00934D18">
            <w:pPr>
              <w:pStyle w:val="ListParagraph"/>
              <w:numPr>
                <w:ilvl w:val="0"/>
                <w:numId w:val="2"/>
              </w:numPr>
              <w:rPr>
                <w:rFonts w:ascii="Calibri" w:hAnsi="Calibri"/>
                <w:sz w:val="24"/>
              </w:rPr>
            </w:pPr>
          </w:p>
        </w:tc>
        <w:tc>
          <w:tcPr>
            <w:tcW w:w="8290" w:type="dxa"/>
          </w:tcPr>
          <w:p w:rsidR="00321F1D" w:rsidRPr="006C25E0" w:rsidRDefault="0059306C" w:rsidP="00321F1D">
            <w:pPr>
              <w:autoSpaceDE w:val="0"/>
              <w:autoSpaceDN w:val="0"/>
              <w:adjustRightInd w:val="0"/>
              <w:rPr>
                <w:rFonts w:cs="Calibri"/>
              </w:rPr>
            </w:pPr>
            <w:r w:rsidRPr="006C25E0">
              <w:rPr>
                <w:rFonts w:cs="Calibri"/>
              </w:rPr>
              <w:t>Before you use the Internet, take time to understand the risks and learn how to spot potential problems.</w:t>
            </w:r>
          </w:p>
        </w:tc>
      </w:tr>
      <w:tr w:rsidR="00321F1D" w:rsidTr="000F6D2A">
        <w:tc>
          <w:tcPr>
            <w:tcW w:w="1286" w:type="dxa"/>
          </w:tcPr>
          <w:p w:rsidR="00321F1D" w:rsidRPr="00934D18" w:rsidRDefault="00321F1D" w:rsidP="00934D18">
            <w:pPr>
              <w:pStyle w:val="ListParagraph"/>
              <w:numPr>
                <w:ilvl w:val="0"/>
                <w:numId w:val="2"/>
              </w:numPr>
              <w:rPr>
                <w:rFonts w:ascii="Calibri" w:hAnsi="Calibri"/>
                <w:sz w:val="24"/>
              </w:rPr>
            </w:pPr>
          </w:p>
        </w:tc>
        <w:tc>
          <w:tcPr>
            <w:tcW w:w="8290" w:type="dxa"/>
          </w:tcPr>
          <w:p w:rsidR="00321F1D" w:rsidRPr="006C25E0" w:rsidRDefault="0059306C" w:rsidP="00321F1D">
            <w:pPr>
              <w:autoSpaceDE w:val="0"/>
              <w:autoSpaceDN w:val="0"/>
              <w:adjustRightInd w:val="0"/>
              <w:rPr>
                <w:rFonts w:cs="Calibri"/>
              </w:rPr>
            </w:pPr>
            <w:r w:rsidRPr="006C25E0">
              <w:rPr>
                <w:rFonts w:cs="Calibri"/>
              </w:rPr>
              <w:t>Enjoy the Internet with greater confidence, knowing you’ve taken the right steps to safeguard yourself and your computer.</w:t>
            </w:r>
          </w:p>
        </w:tc>
      </w:tr>
      <w:tr w:rsidR="0059306C" w:rsidTr="000F6D2A">
        <w:tc>
          <w:tcPr>
            <w:tcW w:w="1286" w:type="dxa"/>
          </w:tcPr>
          <w:p w:rsidR="0059306C" w:rsidRPr="00934D18" w:rsidRDefault="0059306C" w:rsidP="00934D18">
            <w:pPr>
              <w:pStyle w:val="ListParagraph"/>
              <w:numPr>
                <w:ilvl w:val="0"/>
                <w:numId w:val="2"/>
              </w:numPr>
              <w:rPr>
                <w:rFonts w:ascii="Calibri" w:hAnsi="Calibri"/>
                <w:sz w:val="24"/>
              </w:rPr>
            </w:pPr>
          </w:p>
        </w:tc>
        <w:tc>
          <w:tcPr>
            <w:tcW w:w="8290" w:type="dxa"/>
          </w:tcPr>
          <w:p w:rsidR="0059306C" w:rsidRPr="006C25E0" w:rsidRDefault="00F806D9" w:rsidP="0059306C">
            <w:pPr>
              <w:pStyle w:val="PlainText"/>
              <w:rPr>
                <w:rFonts w:asciiTheme="minorHAnsi" w:hAnsiTheme="minorHAnsi" w:cs="Calibri"/>
                <w:sz w:val="22"/>
                <w:szCs w:val="22"/>
              </w:rPr>
            </w:pPr>
            <w:r w:rsidRPr="006C25E0">
              <w:rPr>
                <w:rFonts w:asciiTheme="minorHAnsi" w:hAnsiTheme="minorHAnsi"/>
                <w:sz w:val="22"/>
                <w:szCs w:val="22"/>
              </w:rPr>
              <w:t>Public computers are not secure!  It is recommended that you not access or enter personal or sensitive information on a public computer.</w:t>
            </w:r>
          </w:p>
        </w:tc>
      </w:tr>
      <w:tr w:rsidR="00344779" w:rsidTr="000F6D2A">
        <w:tc>
          <w:tcPr>
            <w:tcW w:w="1286" w:type="dxa"/>
          </w:tcPr>
          <w:p w:rsidR="00344779" w:rsidRPr="00934D18" w:rsidRDefault="00344779" w:rsidP="00934D18">
            <w:pPr>
              <w:pStyle w:val="ListParagraph"/>
              <w:numPr>
                <w:ilvl w:val="0"/>
                <w:numId w:val="2"/>
              </w:numPr>
              <w:rPr>
                <w:rFonts w:ascii="Calibri" w:hAnsi="Calibri"/>
                <w:sz w:val="24"/>
              </w:rPr>
            </w:pPr>
          </w:p>
        </w:tc>
        <w:tc>
          <w:tcPr>
            <w:tcW w:w="8290" w:type="dxa"/>
          </w:tcPr>
          <w:p w:rsidR="00344779" w:rsidRPr="006C25E0" w:rsidRDefault="00344779" w:rsidP="0059306C">
            <w:pPr>
              <w:pStyle w:val="PlainText"/>
              <w:rPr>
                <w:rFonts w:asciiTheme="minorHAnsi" w:hAnsiTheme="minorHAnsi"/>
                <w:sz w:val="22"/>
                <w:szCs w:val="22"/>
              </w:rPr>
            </w:pPr>
            <w:r w:rsidRPr="006C25E0">
              <w:rPr>
                <w:rFonts w:asciiTheme="minorHAnsi" w:hAnsiTheme="minorHAnsi" w:cs="Calibri"/>
                <w:color w:val="000000"/>
                <w:sz w:val="22"/>
                <w:szCs w:val="22"/>
              </w:rPr>
              <w:t>Connect with caution and be vigilant of potential threats</w:t>
            </w:r>
          </w:p>
        </w:tc>
      </w:tr>
    </w:tbl>
    <w:p w:rsidR="0084386E" w:rsidRDefault="0084386E" w:rsidP="0084386E">
      <w:pPr>
        <w:pStyle w:val="ListBullet"/>
        <w:numPr>
          <w:ilvl w:val="0"/>
          <w:numId w:val="0"/>
        </w:numPr>
        <w:ind w:left="1152"/>
        <w:rPr>
          <w:rFonts w:ascii="Calibri" w:hAnsi="Calibri"/>
          <w:sz w:val="24"/>
        </w:rPr>
      </w:pPr>
    </w:p>
    <w:p w:rsidR="00DE039C" w:rsidRDefault="00DE039C" w:rsidP="0084386E">
      <w:pPr>
        <w:pStyle w:val="ListBullet"/>
        <w:numPr>
          <w:ilvl w:val="0"/>
          <w:numId w:val="0"/>
        </w:numPr>
        <w:ind w:left="1152"/>
        <w:rPr>
          <w:rFonts w:ascii="Calibri" w:hAnsi="Calibri"/>
          <w:sz w:val="24"/>
        </w:rPr>
      </w:pPr>
    </w:p>
    <w:p w:rsidR="003D3213" w:rsidRDefault="003D3213" w:rsidP="0084386E">
      <w:pPr>
        <w:pStyle w:val="ListBullet"/>
        <w:numPr>
          <w:ilvl w:val="0"/>
          <w:numId w:val="0"/>
        </w:numPr>
        <w:ind w:left="1152"/>
        <w:rPr>
          <w:rFonts w:ascii="Calibri" w:hAnsi="Calibri"/>
          <w:sz w:val="24"/>
        </w:rPr>
      </w:pPr>
    </w:p>
    <w:p w:rsidR="003D3213" w:rsidRDefault="003D3213" w:rsidP="0084386E">
      <w:pPr>
        <w:pStyle w:val="ListBullet"/>
        <w:numPr>
          <w:ilvl w:val="0"/>
          <w:numId w:val="0"/>
        </w:numPr>
        <w:ind w:left="1152"/>
        <w:rPr>
          <w:rFonts w:ascii="Calibri" w:hAnsi="Calibri"/>
          <w:sz w:val="24"/>
        </w:rPr>
      </w:pPr>
    </w:p>
    <w:p w:rsidR="009C403D" w:rsidRDefault="009C403D" w:rsidP="00090750">
      <w:pPr>
        <w:pStyle w:val="ListBullet"/>
        <w:numPr>
          <w:ilvl w:val="0"/>
          <w:numId w:val="0"/>
        </w:numPr>
        <w:ind w:left="360" w:hanging="360"/>
        <w:rPr>
          <w:rFonts w:ascii="Calibri" w:hAnsi="Calibri"/>
          <w:sz w:val="24"/>
        </w:rPr>
      </w:pPr>
    </w:p>
    <w:sectPr w:rsidR="009C403D" w:rsidSect="005B79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BD910C"/>
    <w:multiLevelType w:val="hybridMultilevel"/>
    <w:tmpl w:val="A099F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4B660D1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E004948"/>
    <w:multiLevelType w:val="hybridMultilevel"/>
    <w:tmpl w:val="40380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B36AA"/>
    <w:multiLevelType w:val="hybridMultilevel"/>
    <w:tmpl w:val="C5C82958"/>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
    <w:nsid w:val="269978FE"/>
    <w:multiLevelType w:val="hybridMultilevel"/>
    <w:tmpl w:val="93A21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67125A"/>
    <w:multiLevelType w:val="hybridMultilevel"/>
    <w:tmpl w:val="65F140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9"/>
  <w:proofState w:spelling="clean" w:grammar="clean"/>
  <w:defaultTabStop w:val="720"/>
  <w:characterSpacingControl w:val="doNotCompress"/>
  <w:compat/>
  <w:rsids>
    <w:rsidRoot w:val="0084386E"/>
    <w:rsid w:val="000377A6"/>
    <w:rsid w:val="000422AC"/>
    <w:rsid w:val="00057D2F"/>
    <w:rsid w:val="00090750"/>
    <w:rsid w:val="000F6D2A"/>
    <w:rsid w:val="00100D25"/>
    <w:rsid w:val="0010227C"/>
    <w:rsid w:val="0010788A"/>
    <w:rsid w:val="001213CC"/>
    <w:rsid w:val="001A494E"/>
    <w:rsid w:val="001C71F2"/>
    <w:rsid w:val="001E239C"/>
    <w:rsid w:val="001E554E"/>
    <w:rsid w:val="001F5A97"/>
    <w:rsid w:val="00200C76"/>
    <w:rsid w:val="002147EC"/>
    <w:rsid w:val="002638F9"/>
    <w:rsid w:val="00294860"/>
    <w:rsid w:val="002B7BC6"/>
    <w:rsid w:val="002D62F2"/>
    <w:rsid w:val="00320BB2"/>
    <w:rsid w:val="00321F1D"/>
    <w:rsid w:val="003324ED"/>
    <w:rsid w:val="00337402"/>
    <w:rsid w:val="00344779"/>
    <w:rsid w:val="003512F9"/>
    <w:rsid w:val="00382D2A"/>
    <w:rsid w:val="003A4E8A"/>
    <w:rsid w:val="003B5AFC"/>
    <w:rsid w:val="003D3213"/>
    <w:rsid w:val="003D4590"/>
    <w:rsid w:val="003F08B7"/>
    <w:rsid w:val="00404226"/>
    <w:rsid w:val="00412A35"/>
    <w:rsid w:val="00441526"/>
    <w:rsid w:val="004A1D65"/>
    <w:rsid w:val="004D045A"/>
    <w:rsid w:val="004F14C9"/>
    <w:rsid w:val="004F443C"/>
    <w:rsid w:val="00567DF3"/>
    <w:rsid w:val="00581EB2"/>
    <w:rsid w:val="0059306C"/>
    <w:rsid w:val="005A0D80"/>
    <w:rsid w:val="005A5368"/>
    <w:rsid w:val="005B797E"/>
    <w:rsid w:val="005E2955"/>
    <w:rsid w:val="00635A35"/>
    <w:rsid w:val="0064786B"/>
    <w:rsid w:val="00665CBE"/>
    <w:rsid w:val="00667942"/>
    <w:rsid w:val="00684582"/>
    <w:rsid w:val="006A2E5C"/>
    <w:rsid w:val="006B5309"/>
    <w:rsid w:val="006C25E0"/>
    <w:rsid w:val="006C367F"/>
    <w:rsid w:val="006E4D26"/>
    <w:rsid w:val="006F7D98"/>
    <w:rsid w:val="0073236E"/>
    <w:rsid w:val="00765660"/>
    <w:rsid w:val="007F0CD2"/>
    <w:rsid w:val="0084386E"/>
    <w:rsid w:val="008B35B1"/>
    <w:rsid w:val="008F290C"/>
    <w:rsid w:val="008F3405"/>
    <w:rsid w:val="00934D18"/>
    <w:rsid w:val="00944D68"/>
    <w:rsid w:val="00946770"/>
    <w:rsid w:val="009B08F0"/>
    <w:rsid w:val="009C403D"/>
    <w:rsid w:val="009D602E"/>
    <w:rsid w:val="009E5C37"/>
    <w:rsid w:val="009F1C86"/>
    <w:rsid w:val="00A1492C"/>
    <w:rsid w:val="00A21CFB"/>
    <w:rsid w:val="00A60FAF"/>
    <w:rsid w:val="00A76B7C"/>
    <w:rsid w:val="00A76FAF"/>
    <w:rsid w:val="00AD3652"/>
    <w:rsid w:val="00AE1BFE"/>
    <w:rsid w:val="00AE6A8A"/>
    <w:rsid w:val="00AE75B5"/>
    <w:rsid w:val="00B177E9"/>
    <w:rsid w:val="00B35F81"/>
    <w:rsid w:val="00B66450"/>
    <w:rsid w:val="00B66922"/>
    <w:rsid w:val="00B83B7D"/>
    <w:rsid w:val="00B86E64"/>
    <w:rsid w:val="00BA0188"/>
    <w:rsid w:val="00BD7692"/>
    <w:rsid w:val="00BE5EEA"/>
    <w:rsid w:val="00C51C54"/>
    <w:rsid w:val="00C66380"/>
    <w:rsid w:val="00C95941"/>
    <w:rsid w:val="00CA32E1"/>
    <w:rsid w:val="00CB055B"/>
    <w:rsid w:val="00CE0A87"/>
    <w:rsid w:val="00CE467F"/>
    <w:rsid w:val="00CE46A6"/>
    <w:rsid w:val="00CF444A"/>
    <w:rsid w:val="00D83CAA"/>
    <w:rsid w:val="00DD5924"/>
    <w:rsid w:val="00DE039C"/>
    <w:rsid w:val="00DE0C63"/>
    <w:rsid w:val="00E748D4"/>
    <w:rsid w:val="00E76CE7"/>
    <w:rsid w:val="00E77B20"/>
    <w:rsid w:val="00E90635"/>
    <w:rsid w:val="00EC5A6D"/>
    <w:rsid w:val="00ED1098"/>
    <w:rsid w:val="00F04337"/>
    <w:rsid w:val="00F62524"/>
    <w:rsid w:val="00F77B64"/>
    <w:rsid w:val="00F806D9"/>
    <w:rsid w:val="00FD7249"/>
    <w:rsid w:val="00FE35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9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4386E"/>
    <w:pPr>
      <w:numPr>
        <w:numId w:val="1"/>
      </w:numPr>
      <w:spacing w:after="120" w:line="240" w:lineRule="auto"/>
      <w:contextualSpacing/>
    </w:pPr>
    <w:rPr>
      <w:sz w:val="20"/>
      <w:szCs w:val="24"/>
    </w:rPr>
  </w:style>
  <w:style w:type="paragraph" w:styleId="Header">
    <w:name w:val="header"/>
    <w:basedOn w:val="Normal"/>
    <w:link w:val="HeaderChar"/>
    <w:unhideWhenUsed/>
    <w:rsid w:val="0084386E"/>
    <w:pPr>
      <w:tabs>
        <w:tab w:val="center" w:pos="4320"/>
        <w:tab w:val="right" w:pos="8640"/>
      </w:tabs>
      <w:spacing w:after="120" w:line="240" w:lineRule="auto"/>
    </w:pPr>
    <w:rPr>
      <w:sz w:val="20"/>
      <w:szCs w:val="24"/>
    </w:rPr>
  </w:style>
  <w:style w:type="character" w:customStyle="1" w:styleId="HeaderChar">
    <w:name w:val="Header Char"/>
    <w:basedOn w:val="DefaultParagraphFont"/>
    <w:link w:val="Header"/>
    <w:rsid w:val="0084386E"/>
    <w:rPr>
      <w:sz w:val="20"/>
      <w:szCs w:val="24"/>
    </w:rPr>
  </w:style>
  <w:style w:type="paragraph" w:styleId="ListParagraph">
    <w:name w:val="List Paragraph"/>
    <w:basedOn w:val="Normal"/>
    <w:uiPriority w:val="34"/>
    <w:qFormat/>
    <w:rsid w:val="0084386E"/>
    <w:pPr>
      <w:ind w:left="720"/>
      <w:contextualSpacing/>
    </w:pPr>
  </w:style>
  <w:style w:type="table" w:styleId="TableGrid">
    <w:name w:val="Table Grid"/>
    <w:basedOn w:val="TableNormal"/>
    <w:uiPriority w:val="59"/>
    <w:rsid w:val="00934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B055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D3652"/>
    <w:rPr>
      <w:sz w:val="16"/>
      <w:szCs w:val="16"/>
    </w:rPr>
  </w:style>
  <w:style w:type="paragraph" w:styleId="CommentText">
    <w:name w:val="annotation text"/>
    <w:basedOn w:val="Normal"/>
    <w:link w:val="CommentTextChar"/>
    <w:uiPriority w:val="99"/>
    <w:semiHidden/>
    <w:unhideWhenUsed/>
    <w:rsid w:val="00AD3652"/>
    <w:pPr>
      <w:spacing w:line="240" w:lineRule="auto"/>
    </w:pPr>
    <w:rPr>
      <w:sz w:val="20"/>
      <w:szCs w:val="20"/>
    </w:rPr>
  </w:style>
  <w:style w:type="character" w:customStyle="1" w:styleId="CommentTextChar">
    <w:name w:val="Comment Text Char"/>
    <w:basedOn w:val="DefaultParagraphFont"/>
    <w:link w:val="CommentText"/>
    <w:uiPriority w:val="99"/>
    <w:semiHidden/>
    <w:rsid w:val="00AD3652"/>
    <w:rPr>
      <w:sz w:val="20"/>
      <w:szCs w:val="20"/>
    </w:rPr>
  </w:style>
  <w:style w:type="paragraph" w:styleId="CommentSubject">
    <w:name w:val="annotation subject"/>
    <w:basedOn w:val="CommentText"/>
    <w:next w:val="CommentText"/>
    <w:link w:val="CommentSubjectChar"/>
    <w:uiPriority w:val="99"/>
    <w:semiHidden/>
    <w:unhideWhenUsed/>
    <w:rsid w:val="00AD3652"/>
    <w:rPr>
      <w:b/>
      <w:bCs/>
    </w:rPr>
  </w:style>
  <w:style w:type="character" w:customStyle="1" w:styleId="CommentSubjectChar">
    <w:name w:val="Comment Subject Char"/>
    <w:basedOn w:val="CommentTextChar"/>
    <w:link w:val="CommentSubject"/>
    <w:uiPriority w:val="99"/>
    <w:semiHidden/>
    <w:rsid w:val="00AD3652"/>
    <w:rPr>
      <w:b/>
      <w:bCs/>
    </w:rPr>
  </w:style>
  <w:style w:type="paragraph" w:styleId="BalloonText">
    <w:name w:val="Balloon Text"/>
    <w:basedOn w:val="Normal"/>
    <w:link w:val="BalloonTextChar"/>
    <w:uiPriority w:val="99"/>
    <w:semiHidden/>
    <w:unhideWhenUsed/>
    <w:rsid w:val="00AD3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652"/>
    <w:rPr>
      <w:rFonts w:ascii="Tahoma" w:hAnsi="Tahoma" w:cs="Tahoma"/>
      <w:sz w:val="16"/>
      <w:szCs w:val="16"/>
    </w:rPr>
  </w:style>
  <w:style w:type="paragraph" w:styleId="PlainText">
    <w:name w:val="Plain Text"/>
    <w:basedOn w:val="Normal"/>
    <w:link w:val="PlainTextChar"/>
    <w:uiPriority w:val="99"/>
    <w:unhideWhenUsed/>
    <w:rsid w:val="0059306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9306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49958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lynette.jackson</dc:creator>
  <cp:lastModifiedBy>nicholjm</cp:lastModifiedBy>
  <cp:revision>4</cp:revision>
  <dcterms:created xsi:type="dcterms:W3CDTF">2013-01-04T15:18:00Z</dcterms:created>
  <dcterms:modified xsi:type="dcterms:W3CDTF">2013-01-04T15:27:00Z</dcterms:modified>
</cp:coreProperties>
</file>