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B5" w:rsidRPr="000D3AA3" w:rsidRDefault="0038139D" w:rsidP="009D7777">
      <w:pPr>
        <w:pStyle w:val="Heading2"/>
        <w:spacing w:line="240" w:lineRule="auto"/>
        <w:jc w:val="center"/>
        <w:rPr>
          <w:rFonts w:asciiTheme="minorHAnsi" w:hAnsiTheme="minorHAnsi" w:cs="Times New Roman"/>
          <w:color w:val="000000" w:themeColor="text1"/>
          <w:sz w:val="24"/>
          <w:szCs w:val="24"/>
          <w:u w:val="single"/>
        </w:rPr>
      </w:pPr>
      <w:r w:rsidRPr="000D3AA3">
        <w:rPr>
          <w:rFonts w:asciiTheme="minorHAnsi" w:hAnsiTheme="minorHAnsi" w:cs="Times New Roman"/>
          <w:color w:val="000000" w:themeColor="text1"/>
          <w:sz w:val="24"/>
          <w:szCs w:val="24"/>
          <w:u w:val="single"/>
        </w:rPr>
        <w:t>DOE AGENCY</w:t>
      </w:r>
      <w:r w:rsidR="004427B5" w:rsidRPr="000D3AA3">
        <w:rPr>
          <w:rFonts w:asciiTheme="minorHAnsi" w:hAnsiTheme="minorHAnsi" w:cs="Times New Roman"/>
          <w:color w:val="000000" w:themeColor="text1"/>
          <w:sz w:val="24"/>
          <w:szCs w:val="24"/>
          <w:u w:val="single"/>
        </w:rPr>
        <w:t xml:space="preserve"> PLAN</w:t>
      </w:r>
    </w:p>
    <w:p w:rsidR="00BC408E" w:rsidRDefault="004427B5" w:rsidP="009D7777">
      <w:pPr>
        <w:pStyle w:val="Heading2"/>
        <w:spacing w:line="240" w:lineRule="auto"/>
        <w:jc w:val="center"/>
        <w:rPr>
          <w:rFonts w:asciiTheme="minorHAnsi" w:hAnsiTheme="minorHAnsi" w:cs="Times New Roman"/>
          <w:color w:val="000000" w:themeColor="text1"/>
          <w:sz w:val="24"/>
          <w:szCs w:val="24"/>
        </w:rPr>
      </w:pPr>
      <w:r w:rsidRPr="000D3AA3">
        <w:rPr>
          <w:rFonts w:asciiTheme="minorHAnsi" w:hAnsiTheme="minorHAnsi" w:cs="Times New Roman"/>
          <w:color w:val="000000" w:themeColor="text1"/>
          <w:sz w:val="24"/>
          <w:szCs w:val="24"/>
        </w:rPr>
        <w:t>APPENDIX A</w:t>
      </w:r>
    </w:p>
    <w:p w:rsidR="004427B5" w:rsidRPr="000D3AA3" w:rsidRDefault="00B16B6F" w:rsidP="009D7777">
      <w:pPr>
        <w:pStyle w:val="Heading2"/>
        <w:spacing w:line="240" w:lineRule="auto"/>
        <w:jc w:val="center"/>
        <w:rPr>
          <w:rFonts w:asciiTheme="minorHAnsi" w:hAnsiTheme="minorHAnsi" w:cs="Times New Roman"/>
          <w:color w:val="000000" w:themeColor="text1"/>
          <w:sz w:val="24"/>
          <w:szCs w:val="24"/>
        </w:rPr>
      </w:pPr>
      <w:r w:rsidRPr="000D3AA3">
        <w:rPr>
          <w:rFonts w:asciiTheme="minorHAnsi" w:hAnsiTheme="minorHAnsi" w:cs="Times New Roman"/>
          <w:color w:val="000000" w:themeColor="text1"/>
          <w:sz w:val="24"/>
          <w:szCs w:val="24"/>
        </w:rPr>
        <w:t>DOE BEST PRACTICES</w:t>
      </w:r>
    </w:p>
    <w:p w:rsidR="004427B5" w:rsidRPr="000D3AA3" w:rsidRDefault="004427B5" w:rsidP="009D7777">
      <w:pPr>
        <w:pStyle w:val="Heading2"/>
        <w:spacing w:line="240" w:lineRule="auto"/>
        <w:rPr>
          <w:rFonts w:asciiTheme="minorHAnsi" w:hAnsiTheme="minorHAnsi" w:cs="Times New Roman"/>
          <w:color w:val="000000" w:themeColor="text1"/>
          <w:sz w:val="24"/>
          <w:szCs w:val="24"/>
        </w:rPr>
      </w:pPr>
    </w:p>
    <w:p w:rsidR="008D3661" w:rsidRPr="000D3AA3" w:rsidRDefault="0038139D" w:rsidP="009D7777">
      <w:pPr>
        <w:pStyle w:val="Heading2"/>
        <w:numPr>
          <w:ilvl w:val="0"/>
          <w:numId w:val="3"/>
        </w:numPr>
        <w:spacing w:line="240" w:lineRule="auto"/>
        <w:rPr>
          <w:rFonts w:asciiTheme="minorHAnsi" w:hAnsiTheme="minorHAnsi" w:cs="Times New Roman"/>
          <w:color w:val="000000" w:themeColor="text1"/>
          <w:sz w:val="24"/>
          <w:szCs w:val="24"/>
          <w:u w:val="single"/>
        </w:rPr>
      </w:pPr>
      <w:r w:rsidRPr="000D3AA3">
        <w:rPr>
          <w:rFonts w:asciiTheme="minorHAnsi" w:hAnsiTheme="minorHAnsi" w:cs="Times New Roman"/>
          <w:color w:val="000000" w:themeColor="text1"/>
          <w:sz w:val="24"/>
          <w:szCs w:val="24"/>
          <w:u w:val="single"/>
        </w:rPr>
        <w:t>D</w:t>
      </w:r>
      <w:r w:rsidR="00720EDE">
        <w:rPr>
          <w:rFonts w:asciiTheme="minorHAnsi" w:hAnsiTheme="minorHAnsi" w:cs="Times New Roman"/>
          <w:color w:val="000000" w:themeColor="text1"/>
          <w:sz w:val="24"/>
          <w:szCs w:val="24"/>
          <w:u w:val="single"/>
        </w:rPr>
        <w:t>epartment of Energy (D</w:t>
      </w:r>
      <w:r w:rsidRPr="000D3AA3">
        <w:rPr>
          <w:rFonts w:asciiTheme="minorHAnsi" w:hAnsiTheme="minorHAnsi" w:cs="Times New Roman"/>
          <w:color w:val="000000" w:themeColor="text1"/>
          <w:sz w:val="24"/>
          <w:szCs w:val="24"/>
          <w:u w:val="single"/>
        </w:rPr>
        <w:t>OE</w:t>
      </w:r>
      <w:r w:rsidR="00720EDE">
        <w:rPr>
          <w:rFonts w:asciiTheme="minorHAnsi" w:hAnsiTheme="minorHAnsi" w:cs="Times New Roman"/>
          <w:color w:val="000000" w:themeColor="text1"/>
          <w:sz w:val="24"/>
          <w:szCs w:val="24"/>
          <w:u w:val="single"/>
        </w:rPr>
        <w:t>)</w:t>
      </w:r>
      <w:r w:rsidR="008D3661" w:rsidRPr="000D3AA3">
        <w:rPr>
          <w:rFonts w:asciiTheme="minorHAnsi" w:hAnsiTheme="minorHAnsi" w:cs="Times New Roman"/>
          <w:color w:val="000000" w:themeColor="text1"/>
          <w:sz w:val="24"/>
          <w:szCs w:val="24"/>
          <w:u w:val="single"/>
        </w:rPr>
        <w:t xml:space="preserve"> Orders and Memoranda</w:t>
      </w:r>
    </w:p>
    <w:p w:rsidR="007B0B66" w:rsidRPr="000D3AA3" w:rsidRDefault="007B0B66" w:rsidP="009D7777">
      <w:pPr>
        <w:spacing w:line="240" w:lineRule="auto"/>
        <w:rPr>
          <w:sz w:val="24"/>
          <w:szCs w:val="24"/>
        </w:rPr>
      </w:pPr>
    </w:p>
    <w:p w:rsidR="00783CB1" w:rsidRPr="000D3AA3" w:rsidRDefault="00783CB1" w:rsidP="009D7777">
      <w:pPr>
        <w:spacing w:line="240" w:lineRule="auto"/>
        <w:rPr>
          <w:rFonts w:cs="Times New Roman"/>
          <w:sz w:val="24"/>
          <w:szCs w:val="24"/>
        </w:rPr>
      </w:pPr>
      <w:r w:rsidRPr="000D3AA3">
        <w:rPr>
          <w:rFonts w:cs="Times New Roman"/>
          <w:sz w:val="24"/>
          <w:szCs w:val="24"/>
        </w:rPr>
        <w:t xml:space="preserve">The following </w:t>
      </w:r>
      <w:r w:rsidR="00B83B21" w:rsidRPr="000D3AA3">
        <w:rPr>
          <w:rFonts w:cs="Times New Roman"/>
          <w:sz w:val="24"/>
          <w:szCs w:val="24"/>
        </w:rPr>
        <w:t>DOE</w:t>
      </w:r>
      <w:r w:rsidRPr="000D3AA3">
        <w:rPr>
          <w:rFonts w:cs="Times New Roman"/>
          <w:sz w:val="24"/>
          <w:szCs w:val="24"/>
        </w:rPr>
        <w:t xml:space="preserve"> Order</w:t>
      </w:r>
      <w:r w:rsidR="00B83B21" w:rsidRPr="000D3AA3">
        <w:rPr>
          <w:rFonts w:cs="Times New Roman"/>
          <w:sz w:val="24"/>
          <w:szCs w:val="24"/>
        </w:rPr>
        <w:t>s, Secretarial</w:t>
      </w:r>
      <w:r w:rsidR="0038139D" w:rsidRPr="000D3AA3">
        <w:rPr>
          <w:rFonts w:cs="Times New Roman"/>
          <w:sz w:val="24"/>
          <w:szCs w:val="24"/>
        </w:rPr>
        <w:t xml:space="preserve"> Memoranda</w:t>
      </w:r>
      <w:r w:rsidR="00B83B21" w:rsidRPr="000D3AA3">
        <w:rPr>
          <w:rFonts w:cs="Times New Roman"/>
          <w:sz w:val="24"/>
          <w:szCs w:val="24"/>
        </w:rPr>
        <w:t>, and DOE Guidance documents</w:t>
      </w:r>
      <w:r w:rsidR="0038139D" w:rsidRPr="000D3AA3">
        <w:rPr>
          <w:rFonts w:cs="Times New Roman"/>
          <w:sz w:val="24"/>
          <w:szCs w:val="24"/>
        </w:rPr>
        <w:t xml:space="preserve"> illustrate DOE’s</w:t>
      </w:r>
      <w:r w:rsidRPr="000D3AA3">
        <w:rPr>
          <w:rFonts w:cs="Times New Roman"/>
          <w:sz w:val="24"/>
          <w:szCs w:val="24"/>
        </w:rPr>
        <w:t xml:space="preserve"> commitment to improving the permitting and review processes for Federal infrastructure projects.  </w:t>
      </w:r>
      <w:r w:rsidR="002A5125" w:rsidRPr="002A5125">
        <w:rPr>
          <w:rFonts w:cs="Times New Roman"/>
          <w:sz w:val="24"/>
          <w:szCs w:val="24"/>
        </w:rPr>
        <w:t xml:space="preserve">The list includes a wide variety of DOE activities, </w:t>
      </w:r>
      <w:r w:rsidR="00102C2D" w:rsidRPr="002A5125">
        <w:rPr>
          <w:rFonts w:cs="Times New Roman"/>
          <w:sz w:val="24"/>
          <w:szCs w:val="24"/>
        </w:rPr>
        <w:t xml:space="preserve">related to </w:t>
      </w:r>
      <w:r w:rsidR="002A5125" w:rsidRPr="002A5125">
        <w:rPr>
          <w:rFonts w:cs="Times New Roman"/>
          <w:sz w:val="24"/>
          <w:szCs w:val="24"/>
        </w:rPr>
        <w:t>not just permitting and reviews, but also DOE research and development activities (including collaboration and coordination with other federal agencies)</w:t>
      </w:r>
      <w:r w:rsidR="003B373E">
        <w:rPr>
          <w:rFonts w:cs="Times New Roman"/>
          <w:sz w:val="24"/>
          <w:szCs w:val="24"/>
        </w:rPr>
        <w:t>, among other</w:t>
      </w:r>
      <w:r w:rsidR="00102C2D">
        <w:rPr>
          <w:rFonts w:cs="Times New Roman"/>
          <w:sz w:val="24"/>
          <w:szCs w:val="24"/>
        </w:rPr>
        <w:t xml:space="preserve"> agency activitie</w:t>
      </w:r>
      <w:r w:rsidR="003B373E">
        <w:rPr>
          <w:rFonts w:cs="Times New Roman"/>
          <w:sz w:val="24"/>
          <w:szCs w:val="24"/>
        </w:rPr>
        <w:t>s</w:t>
      </w:r>
      <w:r w:rsidR="002A5125" w:rsidRPr="002A5125">
        <w:rPr>
          <w:rFonts w:cs="Times New Roman"/>
          <w:sz w:val="24"/>
          <w:szCs w:val="24"/>
        </w:rPr>
        <w:t xml:space="preserve">.  As described in the DOE Agency Plan </w:t>
      </w:r>
      <w:r w:rsidR="00DA30D5">
        <w:rPr>
          <w:rFonts w:cs="Times New Roman"/>
          <w:sz w:val="24"/>
          <w:szCs w:val="24"/>
        </w:rPr>
        <w:t>(see Section III.A., Action 2)</w:t>
      </w:r>
      <w:r w:rsidR="002A5125" w:rsidRPr="002A5125">
        <w:rPr>
          <w:rFonts w:cs="Times New Roman"/>
          <w:sz w:val="24"/>
          <w:szCs w:val="24"/>
        </w:rPr>
        <w:t xml:space="preserve">, DOE will require each of its relevant offices to review this list, as well as the list of Best Practices published with the Federal Plan, and determine which Best Practices, if any, would result in improved permitting and review processes, if adopted by that office.  </w:t>
      </w:r>
    </w:p>
    <w:p w:rsidR="00720EDE" w:rsidRDefault="00720EDE" w:rsidP="00720EDE">
      <w:pPr>
        <w:spacing w:line="240" w:lineRule="auto"/>
        <w:rPr>
          <w:rFonts w:cs="Times New Roman"/>
          <w:b/>
          <w:sz w:val="24"/>
          <w:szCs w:val="24"/>
        </w:rPr>
      </w:pPr>
      <w:r w:rsidRPr="00B20D7D">
        <w:rPr>
          <w:rFonts w:cs="Times New Roman"/>
          <w:b/>
          <w:sz w:val="24"/>
          <w:szCs w:val="24"/>
        </w:rPr>
        <w:t>DOE Order 144.1 – American Indian/Alaska Native Tribal Policy</w:t>
      </w:r>
    </w:p>
    <w:p w:rsidR="004527EB" w:rsidRDefault="004527EB" w:rsidP="009D7777">
      <w:pPr>
        <w:spacing w:line="240" w:lineRule="auto"/>
        <w:rPr>
          <w:rFonts w:cs="Times New Roman"/>
          <w:sz w:val="24"/>
          <w:szCs w:val="24"/>
        </w:rPr>
      </w:pPr>
      <w:r w:rsidRPr="004527EB">
        <w:rPr>
          <w:rFonts w:cs="Times New Roman"/>
          <w:sz w:val="24"/>
          <w:szCs w:val="24"/>
        </w:rPr>
        <w:t xml:space="preserve">This </w:t>
      </w:r>
      <w:hyperlink r:id="rId8" w:history="1">
        <w:r w:rsidRPr="00102C2D">
          <w:rPr>
            <w:rStyle w:val="Hyperlink"/>
            <w:rFonts w:cs="Times New Roman"/>
            <w:sz w:val="24"/>
            <w:szCs w:val="24"/>
          </w:rPr>
          <w:t>Order</w:t>
        </w:r>
      </w:hyperlink>
      <w:r w:rsidRPr="004527EB">
        <w:rPr>
          <w:rFonts w:cs="Times New Roman"/>
          <w:sz w:val="24"/>
          <w:szCs w:val="24"/>
        </w:rPr>
        <w:t xml:space="preserve"> communicates Departmental, programmatic, and field responsibilities for consulting and interacting with American Indian Governments</w:t>
      </w:r>
      <w:r>
        <w:rPr>
          <w:rFonts w:cs="Times New Roman"/>
          <w:sz w:val="24"/>
          <w:szCs w:val="24"/>
        </w:rPr>
        <w:t>, and</w:t>
      </w:r>
      <w:r w:rsidRPr="004527EB">
        <w:rPr>
          <w:rFonts w:cs="Times New Roman"/>
          <w:sz w:val="24"/>
          <w:szCs w:val="24"/>
        </w:rPr>
        <w:t xml:space="preserve"> </w:t>
      </w:r>
      <w:r>
        <w:rPr>
          <w:rFonts w:cs="Times New Roman"/>
          <w:sz w:val="24"/>
          <w:szCs w:val="24"/>
        </w:rPr>
        <w:t>DOE</w:t>
      </w:r>
      <w:r w:rsidRPr="004527EB">
        <w:rPr>
          <w:rFonts w:cs="Times New Roman"/>
          <w:sz w:val="24"/>
          <w:szCs w:val="24"/>
        </w:rPr>
        <w:t xml:space="preserve"> programs and policies that impact American Indian and Alaska Native tribes.  The Order implements DOE’s American Indian and Alaska Native Tribal Government Policy, including its guiding principles, and the Framework for Implementation of the Policy.  The Order includes provisions for staff training and a point of contact system, among other best practices.</w:t>
      </w:r>
    </w:p>
    <w:p w:rsidR="007C7FFD" w:rsidRPr="000D3AA3" w:rsidRDefault="007C7FFD" w:rsidP="009D7777">
      <w:pPr>
        <w:spacing w:line="240" w:lineRule="auto"/>
        <w:rPr>
          <w:rFonts w:cs="Times New Roman"/>
          <w:b/>
          <w:sz w:val="24"/>
          <w:szCs w:val="24"/>
        </w:rPr>
      </w:pPr>
      <w:r w:rsidRPr="000D3AA3">
        <w:rPr>
          <w:rFonts w:cs="Times New Roman"/>
          <w:b/>
          <w:sz w:val="24"/>
          <w:szCs w:val="24"/>
        </w:rPr>
        <w:t>DOE Order 451.1B</w:t>
      </w:r>
      <w:r w:rsidR="00720EDE" w:rsidRPr="00B20D7D">
        <w:rPr>
          <w:rFonts w:cs="Times New Roman"/>
          <w:b/>
          <w:sz w:val="24"/>
          <w:szCs w:val="24"/>
        </w:rPr>
        <w:t xml:space="preserve"> – </w:t>
      </w:r>
      <w:r w:rsidR="00FA4581" w:rsidRPr="000D3AA3">
        <w:rPr>
          <w:rFonts w:cs="Times New Roman"/>
          <w:b/>
          <w:sz w:val="24"/>
          <w:szCs w:val="24"/>
        </w:rPr>
        <w:t>National Environmental Policy Act (NEPA) Compliance Program</w:t>
      </w:r>
    </w:p>
    <w:p w:rsidR="00375429" w:rsidRPr="000D3AA3" w:rsidRDefault="00375429" w:rsidP="009D7777">
      <w:pPr>
        <w:spacing w:line="240" w:lineRule="auto"/>
        <w:rPr>
          <w:rFonts w:cs="Times New Roman"/>
          <w:sz w:val="24"/>
          <w:szCs w:val="24"/>
        </w:rPr>
      </w:pPr>
      <w:r w:rsidRPr="000D3AA3">
        <w:rPr>
          <w:rFonts w:cs="Times New Roman"/>
          <w:sz w:val="24"/>
          <w:szCs w:val="24"/>
        </w:rPr>
        <w:t>Th</w:t>
      </w:r>
      <w:r w:rsidR="00D56FFB">
        <w:rPr>
          <w:rFonts w:cs="Times New Roman"/>
          <w:sz w:val="24"/>
          <w:szCs w:val="24"/>
        </w:rPr>
        <w:t>is</w:t>
      </w:r>
      <w:r w:rsidRPr="000D3AA3">
        <w:rPr>
          <w:rFonts w:cs="Times New Roman"/>
          <w:sz w:val="24"/>
          <w:szCs w:val="24"/>
        </w:rPr>
        <w:t xml:space="preserve"> </w:t>
      </w:r>
      <w:hyperlink r:id="rId9" w:history="1">
        <w:r w:rsidR="00FA4581" w:rsidRPr="000D3AA3">
          <w:rPr>
            <w:rStyle w:val="Hyperlink"/>
            <w:sz w:val="24"/>
            <w:szCs w:val="24"/>
          </w:rPr>
          <w:t>O</w:t>
        </w:r>
        <w:r w:rsidRPr="000D3AA3">
          <w:rPr>
            <w:rStyle w:val="Hyperlink"/>
            <w:sz w:val="24"/>
            <w:szCs w:val="24"/>
          </w:rPr>
          <w:t>rder</w:t>
        </w:r>
      </w:hyperlink>
      <w:r w:rsidRPr="000D3AA3">
        <w:rPr>
          <w:rFonts w:cs="Times New Roman"/>
          <w:sz w:val="24"/>
          <w:szCs w:val="24"/>
        </w:rPr>
        <w:t xml:space="preserve"> establishes DOE internal requirements and responsibilities for implementing the National Environmental Policy Act of 1969</w:t>
      </w:r>
      <w:r w:rsidR="002B1F25">
        <w:rPr>
          <w:rFonts w:cs="Times New Roman"/>
          <w:sz w:val="24"/>
          <w:szCs w:val="24"/>
        </w:rPr>
        <w:t xml:space="preserve"> (NEPA)</w:t>
      </w:r>
      <w:r w:rsidRPr="000D3AA3">
        <w:rPr>
          <w:rFonts w:cs="Times New Roman"/>
          <w:sz w:val="24"/>
          <w:szCs w:val="24"/>
        </w:rPr>
        <w:t>, the Council on Environmental Quality Regulations Implementing the Procedural Provisions of NEPA (40 C</w:t>
      </w:r>
      <w:r w:rsidR="0056204B">
        <w:rPr>
          <w:rFonts w:cs="Times New Roman"/>
          <w:sz w:val="24"/>
          <w:szCs w:val="24"/>
        </w:rPr>
        <w:t>.</w:t>
      </w:r>
      <w:r w:rsidRPr="000D3AA3">
        <w:rPr>
          <w:rFonts w:cs="Times New Roman"/>
          <w:sz w:val="24"/>
          <w:szCs w:val="24"/>
        </w:rPr>
        <w:t>F</w:t>
      </w:r>
      <w:r w:rsidR="0056204B">
        <w:rPr>
          <w:rFonts w:cs="Times New Roman"/>
          <w:sz w:val="24"/>
          <w:szCs w:val="24"/>
        </w:rPr>
        <w:t>.</w:t>
      </w:r>
      <w:r w:rsidRPr="000D3AA3">
        <w:rPr>
          <w:rFonts w:cs="Times New Roman"/>
          <w:sz w:val="24"/>
          <w:szCs w:val="24"/>
        </w:rPr>
        <w:t>R</w:t>
      </w:r>
      <w:r w:rsidR="0056204B">
        <w:rPr>
          <w:rFonts w:cs="Times New Roman"/>
          <w:sz w:val="24"/>
          <w:szCs w:val="24"/>
        </w:rPr>
        <w:t>.</w:t>
      </w:r>
      <w:r w:rsidRPr="000D3AA3">
        <w:rPr>
          <w:rFonts w:cs="Times New Roman"/>
          <w:sz w:val="24"/>
          <w:szCs w:val="24"/>
        </w:rPr>
        <w:t xml:space="preserve"> Parts 1500-1508), and the DOE NEPA Implementin</w:t>
      </w:r>
      <w:r w:rsidR="007C7FFD" w:rsidRPr="000D3AA3">
        <w:rPr>
          <w:rFonts w:cs="Times New Roman"/>
          <w:sz w:val="24"/>
          <w:szCs w:val="24"/>
        </w:rPr>
        <w:t>g Procedures (10 C</w:t>
      </w:r>
      <w:r w:rsidR="0056204B">
        <w:rPr>
          <w:rFonts w:cs="Times New Roman"/>
          <w:sz w:val="24"/>
          <w:szCs w:val="24"/>
        </w:rPr>
        <w:t>.</w:t>
      </w:r>
      <w:r w:rsidR="007C7FFD" w:rsidRPr="000D3AA3">
        <w:rPr>
          <w:rFonts w:cs="Times New Roman"/>
          <w:sz w:val="24"/>
          <w:szCs w:val="24"/>
        </w:rPr>
        <w:t>F</w:t>
      </w:r>
      <w:r w:rsidR="0056204B">
        <w:rPr>
          <w:rFonts w:cs="Times New Roman"/>
          <w:sz w:val="24"/>
          <w:szCs w:val="24"/>
        </w:rPr>
        <w:t>.</w:t>
      </w:r>
      <w:r w:rsidR="007C7FFD" w:rsidRPr="000D3AA3">
        <w:rPr>
          <w:rFonts w:cs="Times New Roman"/>
          <w:sz w:val="24"/>
          <w:szCs w:val="24"/>
        </w:rPr>
        <w:t>R</w:t>
      </w:r>
      <w:r w:rsidR="0056204B">
        <w:rPr>
          <w:rFonts w:cs="Times New Roman"/>
          <w:sz w:val="24"/>
          <w:szCs w:val="24"/>
        </w:rPr>
        <w:t>.</w:t>
      </w:r>
      <w:r w:rsidR="007C7FFD" w:rsidRPr="000D3AA3">
        <w:rPr>
          <w:rFonts w:cs="Times New Roman"/>
          <w:sz w:val="24"/>
          <w:szCs w:val="24"/>
        </w:rPr>
        <w:t xml:space="preserve"> Part 1021)</w:t>
      </w:r>
      <w:r w:rsidRPr="000D3AA3">
        <w:rPr>
          <w:rFonts w:cs="Times New Roman"/>
          <w:sz w:val="24"/>
          <w:szCs w:val="24"/>
        </w:rPr>
        <w:t xml:space="preserve">. </w:t>
      </w:r>
      <w:r w:rsidR="00FA4581" w:rsidRPr="000D3AA3">
        <w:rPr>
          <w:rFonts w:cs="Times New Roman"/>
          <w:sz w:val="24"/>
          <w:szCs w:val="24"/>
        </w:rPr>
        <w:t>The goal of establishing the requirements and responsibilities presented in the Order is to ensure efficient and effective implementation of DOE's NEPA responsibilities through teamwork. A key responsibility for all participants is to control the cost and time for the NEPA process while maintaining quality.</w:t>
      </w:r>
    </w:p>
    <w:p w:rsidR="00C0140B" w:rsidRPr="000D3AA3" w:rsidRDefault="00C0140B" w:rsidP="009D7777">
      <w:pPr>
        <w:spacing w:line="240" w:lineRule="auto"/>
        <w:rPr>
          <w:rFonts w:cs="Times New Roman"/>
          <w:b/>
          <w:sz w:val="24"/>
          <w:szCs w:val="24"/>
        </w:rPr>
      </w:pPr>
      <w:r w:rsidRPr="000D3AA3">
        <w:rPr>
          <w:rFonts w:cs="Times New Roman"/>
          <w:b/>
          <w:sz w:val="24"/>
          <w:szCs w:val="24"/>
        </w:rPr>
        <w:t>DOE Secretarial Memo—Improved NEPA Decision Making</w:t>
      </w:r>
    </w:p>
    <w:p w:rsidR="00C0140B" w:rsidRPr="000D3AA3" w:rsidRDefault="00C0140B" w:rsidP="009D7777">
      <w:pPr>
        <w:spacing w:line="240" w:lineRule="auto"/>
        <w:rPr>
          <w:rFonts w:cs="Times New Roman"/>
          <w:sz w:val="24"/>
          <w:szCs w:val="24"/>
        </w:rPr>
      </w:pPr>
      <w:r w:rsidRPr="000D3AA3">
        <w:rPr>
          <w:rFonts w:cs="Times New Roman"/>
          <w:sz w:val="24"/>
          <w:szCs w:val="24"/>
        </w:rPr>
        <w:t>Declaring that “</w:t>
      </w:r>
      <w:r w:rsidR="00C90C3B">
        <w:rPr>
          <w:rFonts w:cs="Times New Roman"/>
          <w:sz w:val="24"/>
          <w:szCs w:val="24"/>
        </w:rPr>
        <w:t>[c]</w:t>
      </w:r>
      <w:proofErr w:type="spellStart"/>
      <w:r w:rsidRPr="000D3AA3">
        <w:rPr>
          <w:rFonts w:cs="Times New Roman"/>
          <w:sz w:val="24"/>
          <w:szCs w:val="24"/>
        </w:rPr>
        <w:t>ompliance</w:t>
      </w:r>
      <w:proofErr w:type="spellEnd"/>
      <w:r w:rsidRPr="000D3AA3">
        <w:rPr>
          <w:rFonts w:cs="Times New Roman"/>
          <w:sz w:val="24"/>
          <w:szCs w:val="24"/>
        </w:rPr>
        <w:t xml:space="preserve"> with the </w:t>
      </w:r>
      <w:r w:rsidR="00961810">
        <w:rPr>
          <w:rFonts w:cs="Times New Roman"/>
          <w:sz w:val="24"/>
          <w:szCs w:val="24"/>
        </w:rPr>
        <w:t>National Environmental Policy Act (</w:t>
      </w:r>
      <w:r w:rsidRPr="000D3AA3">
        <w:rPr>
          <w:rFonts w:cs="Times New Roman"/>
          <w:sz w:val="24"/>
          <w:szCs w:val="24"/>
        </w:rPr>
        <w:t>NEPA</w:t>
      </w:r>
      <w:r w:rsidR="00961810">
        <w:rPr>
          <w:rFonts w:cs="Times New Roman"/>
          <w:sz w:val="24"/>
          <w:szCs w:val="24"/>
        </w:rPr>
        <w:t>)</w:t>
      </w:r>
      <w:r w:rsidRPr="000D3AA3">
        <w:rPr>
          <w:rFonts w:cs="Times New Roman"/>
          <w:sz w:val="24"/>
          <w:szCs w:val="24"/>
        </w:rPr>
        <w:t xml:space="preserve"> is a pre-requisite to successful implementation of DOE programs and projects,” the Secretary signed a </w:t>
      </w:r>
      <w:hyperlink r:id="rId10" w:history="1">
        <w:r w:rsidRPr="000D3AA3">
          <w:rPr>
            <w:rStyle w:val="Hyperlink"/>
            <w:rFonts w:cs="Times New Roman"/>
            <w:sz w:val="24"/>
            <w:szCs w:val="24"/>
          </w:rPr>
          <w:t>memorandum</w:t>
        </w:r>
      </w:hyperlink>
      <w:r w:rsidRPr="000D3AA3">
        <w:rPr>
          <w:rFonts w:cs="Times New Roman"/>
          <w:sz w:val="24"/>
          <w:szCs w:val="24"/>
        </w:rPr>
        <w:t xml:space="preserve"> on "Improved Decision Making through the Integration of Program and Project Management with National Environmental Policy Act Compliance." </w:t>
      </w:r>
      <w:r w:rsidR="00C90C3B">
        <w:rPr>
          <w:rFonts w:cs="Times New Roman"/>
          <w:sz w:val="24"/>
          <w:szCs w:val="24"/>
        </w:rPr>
        <w:t xml:space="preserve"> </w:t>
      </w:r>
      <w:r w:rsidRPr="000D3AA3">
        <w:rPr>
          <w:rFonts w:cs="Times New Roman"/>
          <w:sz w:val="24"/>
          <w:szCs w:val="24"/>
        </w:rPr>
        <w:t xml:space="preserve">The </w:t>
      </w:r>
      <w:r w:rsidR="00C90C3B">
        <w:rPr>
          <w:rFonts w:cs="Times New Roman"/>
          <w:sz w:val="24"/>
          <w:szCs w:val="24"/>
        </w:rPr>
        <w:t xml:space="preserve">June 2012 </w:t>
      </w:r>
      <w:r w:rsidRPr="000D3AA3">
        <w:rPr>
          <w:rFonts w:cs="Times New Roman"/>
          <w:sz w:val="24"/>
          <w:szCs w:val="24"/>
        </w:rPr>
        <w:t>memo</w:t>
      </w:r>
      <w:r w:rsidR="002B1F25">
        <w:rPr>
          <w:rFonts w:cs="Times New Roman"/>
          <w:sz w:val="24"/>
          <w:szCs w:val="24"/>
        </w:rPr>
        <w:t>randum</w:t>
      </w:r>
      <w:r w:rsidRPr="000D3AA3">
        <w:rPr>
          <w:rFonts w:cs="Times New Roman"/>
          <w:sz w:val="24"/>
          <w:szCs w:val="24"/>
        </w:rPr>
        <w:t xml:space="preserve"> urges better use of existing tools and guidance, and highlights principles for </w:t>
      </w:r>
      <w:r w:rsidRPr="000D3AA3">
        <w:rPr>
          <w:rFonts w:cs="Times New Roman"/>
          <w:sz w:val="24"/>
          <w:szCs w:val="24"/>
        </w:rPr>
        <w:lastRenderedPageBreak/>
        <w:t>strengthening NEPA compliance – for example, through Field and Headquarters teamwork, realistic schedules, and performance accountability.</w:t>
      </w:r>
    </w:p>
    <w:p w:rsidR="00EB5347" w:rsidRPr="000D3AA3" w:rsidRDefault="00235DD8" w:rsidP="009D7777">
      <w:pPr>
        <w:spacing w:line="240" w:lineRule="auto"/>
        <w:rPr>
          <w:rFonts w:cs="Times New Roman"/>
          <w:b/>
          <w:color w:val="333333"/>
          <w:sz w:val="24"/>
          <w:szCs w:val="24"/>
        </w:rPr>
      </w:pPr>
      <w:r w:rsidRPr="000D3AA3">
        <w:rPr>
          <w:rFonts w:cs="Times New Roman"/>
          <w:b/>
          <w:color w:val="333333"/>
          <w:sz w:val="24"/>
          <w:szCs w:val="24"/>
        </w:rPr>
        <w:t xml:space="preserve">DOE </w:t>
      </w:r>
      <w:r w:rsidR="002B1F25">
        <w:rPr>
          <w:rFonts w:cs="Times New Roman"/>
          <w:b/>
          <w:color w:val="333333"/>
          <w:sz w:val="24"/>
          <w:szCs w:val="24"/>
        </w:rPr>
        <w:t xml:space="preserve">Office of the </w:t>
      </w:r>
      <w:r w:rsidRPr="000D3AA3">
        <w:rPr>
          <w:rFonts w:cs="Times New Roman"/>
          <w:b/>
          <w:color w:val="333333"/>
          <w:sz w:val="24"/>
          <w:szCs w:val="24"/>
        </w:rPr>
        <w:t>General Counsel (GC) Memo on NEPA Review Process Improvements</w:t>
      </w:r>
    </w:p>
    <w:p w:rsidR="00235DD8" w:rsidRDefault="00235DD8" w:rsidP="009D7777">
      <w:pPr>
        <w:spacing w:line="240" w:lineRule="auto"/>
        <w:rPr>
          <w:rFonts w:cs="Times New Roman"/>
          <w:sz w:val="24"/>
          <w:szCs w:val="24"/>
        </w:rPr>
      </w:pPr>
      <w:r w:rsidRPr="000D3AA3">
        <w:rPr>
          <w:rFonts w:cs="Times New Roman"/>
          <w:sz w:val="24"/>
          <w:szCs w:val="24"/>
        </w:rPr>
        <w:t xml:space="preserve">In an effort to improve the efficiency of the internal DOE approval process for NEPA-related documents, </w:t>
      </w:r>
      <w:r w:rsidR="003B3AC0">
        <w:rPr>
          <w:rFonts w:cs="Times New Roman"/>
          <w:sz w:val="24"/>
          <w:szCs w:val="24"/>
        </w:rPr>
        <w:t xml:space="preserve">in June, 2009, </w:t>
      </w:r>
      <w:r w:rsidRPr="000D3AA3">
        <w:rPr>
          <w:rFonts w:cs="Times New Roman"/>
          <w:sz w:val="24"/>
          <w:szCs w:val="24"/>
        </w:rPr>
        <w:t>the GC issued a memo</w:t>
      </w:r>
      <w:r w:rsidR="00102C2D">
        <w:rPr>
          <w:rFonts w:cs="Times New Roman"/>
          <w:sz w:val="24"/>
          <w:szCs w:val="24"/>
        </w:rPr>
        <w:t>randum</w:t>
      </w:r>
      <w:r w:rsidRPr="000D3AA3">
        <w:rPr>
          <w:rFonts w:cs="Times New Roman"/>
          <w:sz w:val="24"/>
          <w:szCs w:val="24"/>
        </w:rPr>
        <w:t xml:space="preserve"> that set forth a set of operating principles that the Office of NEPA Policy and Compliance and the Office of the Assistant General Counsel for the Environment will employ for NEPA reviews.</w:t>
      </w:r>
    </w:p>
    <w:p w:rsidR="00D55B1A" w:rsidRDefault="00D55B1A">
      <w:pPr>
        <w:spacing w:after="0" w:line="240" w:lineRule="auto"/>
        <w:rPr>
          <w:rFonts w:cs="Times New Roman"/>
          <w:sz w:val="24"/>
          <w:szCs w:val="24"/>
        </w:rPr>
      </w:pPr>
    </w:p>
    <w:p w:rsidR="00D55B1A" w:rsidRDefault="00783CB1">
      <w:pPr>
        <w:pStyle w:val="Heading2"/>
        <w:numPr>
          <w:ilvl w:val="0"/>
          <w:numId w:val="3"/>
        </w:numPr>
        <w:spacing w:before="0" w:line="240" w:lineRule="auto"/>
        <w:rPr>
          <w:rFonts w:asciiTheme="minorHAnsi" w:hAnsiTheme="minorHAnsi" w:cs="Times New Roman"/>
          <w:color w:val="000000" w:themeColor="text1"/>
          <w:sz w:val="24"/>
          <w:szCs w:val="24"/>
          <w:u w:val="single"/>
        </w:rPr>
      </w:pPr>
      <w:r w:rsidRPr="000D3AA3">
        <w:rPr>
          <w:rFonts w:asciiTheme="minorHAnsi" w:hAnsiTheme="minorHAnsi" w:cs="Times New Roman"/>
          <w:color w:val="000000" w:themeColor="text1"/>
          <w:sz w:val="24"/>
          <w:szCs w:val="24"/>
          <w:u w:val="single"/>
        </w:rPr>
        <w:t>Best Practice Examples</w:t>
      </w:r>
    </w:p>
    <w:p w:rsidR="00D55B1A" w:rsidRDefault="00D55B1A">
      <w:pPr>
        <w:spacing w:after="0" w:line="240" w:lineRule="auto"/>
        <w:rPr>
          <w:rFonts w:cs="Times New Roman"/>
          <w:sz w:val="24"/>
          <w:szCs w:val="24"/>
        </w:rPr>
      </w:pPr>
    </w:p>
    <w:p w:rsidR="00783CB1" w:rsidRPr="000D3AA3" w:rsidRDefault="00783CB1" w:rsidP="009D7777">
      <w:pPr>
        <w:spacing w:line="240" w:lineRule="auto"/>
        <w:rPr>
          <w:rFonts w:cs="Times New Roman"/>
          <w:sz w:val="24"/>
          <w:szCs w:val="24"/>
        </w:rPr>
      </w:pPr>
      <w:r w:rsidRPr="000D3AA3">
        <w:rPr>
          <w:rFonts w:cs="Times New Roman"/>
          <w:sz w:val="24"/>
          <w:szCs w:val="24"/>
        </w:rPr>
        <w:t xml:space="preserve">Below are examples of </w:t>
      </w:r>
      <w:r w:rsidR="002B1F25">
        <w:rPr>
          <w:rFonts w:cs="Times New Roman"/>
          <w:sz w:val="24"/>
          <w:szCs w:val="24"/>
        </w:rPr>
        <w:t>B</w:t>
      </w:r>
      <w:r w:rsidRPr="000D3AA3">
        <w:rPr>
          <w:rFonts w:cs="Times New Roman"/>
          <w:sz w:val="24"/>
          <w:szCs w:val="24"/>
        </w:rPr>
        <w:t xml:space="preserve">est </w:t>
      </w:r>
      <w:r w:rsidR="002B1F25">
        <w:rPr>
          <w:rFonts w:cs="Times New Roman"/>
          <w:sz w:val="24"/>
          <w:szCs w:val="24"/>
        </w:rPr>
        <w:t>P</w:t>
      </w:r>
      <w:r w:rsidRPr="000D3AA3">
        <w:rPr>
          <w:rFonts w:cs="Times New Roman"/>
          <w:sz w:val="24"/>
          <w:szCs w:val="24"/>
        </w:rPr>
        <w:t xml:space="preserve">ractices already in use by </w:t>
      </w:r>
      <w:r w:rsidR="00BB5634" w:rsidRPr="000D3AA3">
        <w:rPr>
          <w:rFonts w:cs="Times New Roman"/>
          <w:sz w:val="24"/>
          <w:szCs w:val="24"/>
        </w:rPr>
        <w:t>DOE</w:t>
      </w:r>
      <w:r w:rsidRPr="000D3AA3">
        <w:rPr>
          <w:rFonts w:cs="Times New Roman"/>
          <w:sz w:val="24"/>
          <w:szCs w:val="24"/>
        </w:rPr>
        <w:t xml:space="preserve">.  </w:t>
      </w:r>
      <w:r w:rsidR="002B1F25">
        <w:rPr>
          <w:rFonts w:cs="Times New Roman"/>
          <w:sz w:val="24"/>
          <w:szCs w:val="24"/>
        </w:rPr>
        <w:t xml:space="preserve">Though </w:t>
      </w:r>
      <w:r w:rsidR="002B1F25" w:rsidRPr="000D3AA3">
        <w:rPr>
          <w:rFonts w:cs="Times New Roman"/>
          <w:sz w:val="24"/>
          <w:szCs w:val="24"/>
        </w:rPr>
        <w:t>organized under general headings</w:t>
      </w:r>
      <w:r w:rsidR="002B1F25">
        <w:rPr>
          <w:rFonts w:cs="Times New Roman"/>
          <w:sz w:val="24"/>
          <w:szCs w:val="24"/>
        </w:rPr>
        <w:t>,</w:t>
      </w:r>
      <w:r w:rsidR="002B1F25" w:rsidRPr="000D3AA3">
        <w:rPr>
          <w:rFonts w:cs="Times New Roman"/>
          <w:sz w:val="24"/>
          <w:szCs w:val="24"/>
        </w:rPr>
        <w:t xml:space="preserve"> many </w:t>
      </w:r>
      <w:r w:rsidR="002B1F25">
        <w:rPr>
          <w:rFonts w:cs="Times New Roman"/>
          <w:sz w:val="24"/>
          <w:szCs w:val="24"/>
        </w:rPr>
        <w:t xml:space="preserve">of the items </w:t>
      </w:r>
      <w:r w:rsidR="002B1F25" w:rsidRPr="000D3AA3">
        <w:rPr>
          <w:rFonts w:cs="Times New Roman"/>
          <w:sz w:val="24"/>
          <w:szCs w:val="24"/>
        </w:rPr>
        <w:t>address a range of challenges and deliver efficiencies and better environmental outcomes</w:t>
      </w:r>
      <w:r w:rsidR="002B1F25">
        <w:rPr>
          <w:rFonts w:cs="Times New Roman"/>
          <w:sz w:val="24"/>
          <w:szCs w:val="24"/>
        </w:rPr>
        <w:t xml:space="preserve"> beyond the scope of the particular headings</w:t>
      </w:r>
      <w:r w:rsidR="002B1F25" w:rsidRPr="000D3AA3">
        <w:rPr>
          <w:rFonts w:cs="Times New Roman"/>
          <w:sz w:val="24"/>
          <w:szCs w:val="24"/>
        </w:rPr>
        <w:t xml:space="preserve">.  This </w:t>
      </w:r>
      <w:r w:rsidR="002B1F25">
        <w:rPr>
          <w:rFonts w:cs="Times New Roman"/>
          <w:sz w:val="24"/>
          <w:szCs w:val="24"/>
        </w:rPr>
        <w:t xml:space="preserve">list </w:t>
      </w:r>
      <w:r w:rsidR="002B1F25" w:rsidRPr="000D3AA3">
        <w:rPr>
          <w:rFonts w:cs="Times New Roman"/>
          <w:sz w:val="24"/>
          <w:szCs w:val="24"/>
        </w:rPr>
        <w:t xml:space="preserve">is not comprehensive, but rather </w:t>
      </w:r>
      <w:r w:rsidR="002B1F25">
        <w:rPr>
          <w:rFonts w:cs="Times New Roman"/>
          <w:sz w:val="24"/>
          <w:szCs w:val="24"/>
        </w:rPr>
        <w:t xml:space="preserve">offers </w:t>
      </w:r>
      <w:r w:rsidR="002B1F25" w:rsidRPr="000D3AA3">
        <w:rPr>
          <w:rFonts w:cs="Times New Roman"/>
          <w:sz w:val="24"/>
          <w:szCs w:val="24"/>
        </w:rPr>
        <w:t xml:space="preserve">select examples to highlight the work already underway across </w:t>
      </w:r>
      <w:r w:rsidR="002B1F25">
        <w:rPr>
          <w:rFonts w:cs="Times New Roman"/>
          <w:sz w:val="24"/>
          <w:szCs w:val="24"/>
        </w:rPr>
        <w:t>DOE</w:t>
      </w:r>
      <w:r w:rsidR="002B1F25" w:rsidRPr="000D3AA3">
        <w:rPr>
          <w:rFonts w:cs="Times New Roman"/>
          <w:sz w:val="24"/>
          <w:szCs w:val="24"/>
        </w:rPr>
        <w:t>.</w:t>
      </w:r>
    </w:p>
    <w:p w:rsidR="00D55B1A" w:rsidRDefault="00D55B1A">
      <w:pPr>
        <w:spacing w:after="0" w:line="240" w:lineRule="auto"/>
        <w:rPr>
          <w:rFonts w:cs="Times New Roman"/>
          <w:sz w:val="24"/>
          <w:szCs w:val="24"/>
        </w:rPr>
      </w:pPr>
    </w:p>
    <w:p w:rsidR="00D55B1A" w:rsidRDefault="008D3661">
      <w:pPr>
        <w:pStyle w:val="Heading2"/>
        <w:numPr>
          <w:ilvl w:val="0"/>
          <w:numId w:val="4"/>
        </w:numPr>
        <w:spacing w:before="0" w:line="240" w:lineRule="auto"/>
        <w:rPr>
          <w:rFonts w:asciiTheme="minorHAnsi" w:hAnsiTheme="minorHAnsi" w:cs="Times New Roman"/>
          <w:i/>
          <w:color w:val="000000" w:themeColor="text1"/>
          <w:sz w:val="24"/>
          <w:szCs w:val="24"/>
        </w:rPr>
      </w:pPr>
      <w:r w:rsidRPr="000D3AA3">
        <w:rPr>
          <w:rFonts w:asciiTheme="minorHAnsi" w:hAnsiTheme="minorHAnsi" w:cs="Times New Roman"/>
          <w:i/>
          <w:color w:val="000000" w:themeColor="text1"/>
          <w:sz w:val="24"/>
          <w:szCs w:val="24"/>
        </w:rPr>
        <w:t>Interagency Agreements</w:t>
      </w:r>
      <w:r w:rsidR="00041848" w:rsidRPr="000D3AA3">
        <w:rPr>
          <w:rFonts w:asciiTheme="minorHAnsi" w:hAnsiTheme="minorHAnsi" w:cs="Times New Roman"/>
          <w:i/>
          <w:color w:val="000000" w:themeColor="text1"/>
          <w:sz w:val="24"/>
          <w:szCs w:val="24"/>
        </w:rPr>
        <w:t xml:space="preserve"> and Coordination</w:t>
      </w:r>
    </w:p>
    <w:p w:rsidR="00D55B1A" w:rsidRDefault="00D55B1A">
      <w:pPr>
        <w:spacing w:after="0"/>
      </w:pPr>
    </w:p>
    <w:p w:rsidR="00267085" w:rsidRPr="000D3AA3" w:rsidRDefault="00267085" w:rsidP="00267085">
      <w:pPr>
        <w:pStyle w:val="NoSpacing"/>
        <w:rPr>
          <w:rFonts w:cs="Times New Roman"/>
          <w:b/>
          <w:sz w:val="24"/>
          <w:szCs w:val="24"/>
        </w:rPr>
      </w:pPr>
      <w:r w:rsidRPr="000D3AA3">
        <w:rPr>
          <w:rFonts w:cs="Times New Roman"/>
          <w:b/>
          <w:sz w:val="24"/>
          <w:szCs w:val="24"/>
        </w:rPr>
        <w:t xml:space="preserve">MOU </w:t>
      </w:r>
      <w:proofErr w:type="gramStart"/>
      <w:r>
        <w:rPr>
          <w:rFonts w:cs="Times New Roman"/>
          <w:b/>
          <w:sz w:val="24"/>
          <w:szCs w:val="24"/>
        </w:rPr>
        <w:t>Among</w:t>
      </w:r>
      <w:proofErr w:type="gramEnd"/>
      <w:r w:rsidRPr="000D3AA3">
        <w:rPr>
          <w:rFonts w:cs="Times New Roman"/>
          <w:b/>
          <w:sz w:val="24"/>
          <w:szCs w:val="24"/>
        </w:rPr>
        <w:t xml:space="preserve"> </w:t>
      </w:r>
      <w:r>
        <w:rPr>
          <w:rFonts w:cs="Times New Roman"/>
          <w:b/>
          <w:sz w:val="24"/>
          <w:szCs w:val="24"/>
        </w:rPr>
        <w:t xml:space="preserve">Nine </w:t>
      </w:r>
      <w:r w:rsidRPr="000D3AA3">
        <w:rPr>
          <w:rFonts w:cs="Times New Roman"/>
          <w:b/>
          <w:sz w:val="24"/>
          <w:szCs w:val="24"/>
        </w:rPr>
        <w:t xml:space="preserve">Federal Agencies Regarding the Coordination of Federal Agency Review of Electric Transmission Facilities on Federal Lands </w:t>
      </w:r>
    </w:p>
    <w:p w:rsidR="00267085" w:rsidRPr="000D3AA3" w:rsidRDefault="00267085" w:rsidP="00267085">
      <w:pPr>
        <w:pStyle w:val="NoSpacing"/>
        <w:rPr>
          <w:rFonts w:cs="Times New Roman"/>
          <w:sz w:val="24"/>
          <w:szCs w:val="24"/>
        </w:rPr>
      </w:pPr>
      <w:r w:rsidRPr="000D3AA3">
        <w:rPr>
          <w:rFonts w:cs="Times New Roman"/>
          <w:sz w:val="24"/>
          <w:szCs w:val="24"/>
        </w:rPr>
        <w:t>The purpose of the M</w:t>
      </w:r>
      <w:r>
        <w:rPr>
          <w:rFonts w:cs="Times New Roman"/>
          <w:sz w:val="24"/>
          <w:szCs w:val="24"/>
        </w:rPr>
        <w:t xml:space="preserve">emorandum of </w:t>
      </w:r>
      <w:r w:rsidRPr="000D3AA3">
        <w:rPr>
          <w:rFonts w:cs="Times New Roman"/>
          <w:sz w:val="24"/>
          <w:szCs w:val="24"/>
        </w:rPr>
        <w:t>U</w:t>
      </w:r>
      <w:r>
        <w:rPr>
          <w:rFonts w:cs="Times New Roman"/>
          <w:sz w:val="24"/>
          <w:szCs w:val="24"/>
        </w:rPr>
        <w:t>nderstanding (</w:t>
      </w:r>
      <w:r w:rsidRPr="000D3AA3">
        <w:rPr>
          <w:rFonts w:cs="Times New Roman"/>
          <w:sz w:val="24"/>
          <w:szCs w:val="24"/>
        </w:rPr>
        <w:t>MOU</w:t>
      </w:r>
      <w:r>
        <w:rPr>
          <w:rFonts w:cs="Times New Roman"/>
          <w:sz w:val="24"/>
          <w:szCs w:val="24"/>
        </w:rPr>
        <w:t>)</w:t>
      </w:r>
      <w:r w:rsidRPr="000D3AA3">
        <w:rPr>
          <w:rFonts w:cs="Times New Roman"/>
          <w:sz w:val="24"/>
          <w:szCs w:val="24"/>
        </w:rPr>
        <w:t xml:space="preserve"> is to expedite the </w:t>
      </w:r>
      <w:proofErr w:type="spellStart"/>
      <w:r w:rsidRPr="000D3AA3">
        <w:rPr>
          <w:rFonts w:cs="Times New Roman"/>
          <w:sz w:val="24"/>
          <w:szCs w:val="24"/>
        </w:rPr>
        <w:t>siting</w:t>
      </w:r>
      <w:proofErr w:type="spellEnd"/>
      <w:r w:rsidRPr="000D3AA3">
        <w:rPr>
          <w:rFonts w:cs="Times New Roman"/>
          <w:sz w:val="24"/>
          <w:szCs w:val="24"/>
        </w:rPr>
        <w:t xml:space="preserve"> and construction of qualified electric transmission infrastructure in the United States. The MOU improves coordination among project applicants, federal agencies, and states and tribes involved in the </w:t>
      </w:r>
      <w:proofErr w:type="spellStart"/>
      <w:r w:rsidRPr="000D3AA3">
        <w:rPr>
          <w:rFonts w:cs="Times New Roman"/>
          <w:sz w:val="24"/>
          <w:szCs w:val="24"/>
        </w:rPr>
        <w:t>siting</w:t>
      </w:r>
      <w:proofErr w:type="spellEnd"/>
      <w:r w:rsidRPr="000D3AA3">
        <w:rPr>
          <w:rFonts w:cs="Times New Roman"/>
          <w:sz w:val="24"/>
          <w:szCs w:val="24"/>
        </w:rPr>
        <w:t xml:space="preserve"> and permitting process. </w:t>
      </w:r>
      <w:r>
        <w:rPr>
          <w:rFonts w:cs="Times New Roman"/>
          <w:sz w:val="24"/>
          <w:szCs w:val="24"/>
        </w:rPr>
        <w:t>To</w:t>
      </w:r>
      <w:r w:rsidRPr="000D3AA3">
        <w:rPr>
          <w:rFonts w:cs="Times New Roman"/>
          <w:sz w:val="24"/>
          <w:szCs w:val="24"/>
        </w:rPr>
        <w:t xml:space="preserve"> improve uniformity, consistency, and transparency</w:t>
      </w:r>
      <w:r>
        <w:rPr>
          <w:rFonts w:cs="Times New Roman"/>
          <w:sz w:val="24"/>
          <w:szCs w:val="24"/>
        </w:rPr>
        <w:t xml:space="preserve">, the MOU </w:t>
      </w:r>
      <w:r w:rsidRPr="000D3AA3">
        <w:rPr>
          <w:rFonts w:cs="Times New Roman"/>
          <w:sz w:val="24"/>
          <w:szCs w:val="24"/>
        </w:rPr>
        <w:t>set</w:t>
      </w:r>
      <w:r>
        <w:rPr>
          <w:rFonts w:cs="Times New Roman"/>
          <w:sz w:val="24"/>
          <w:szCs w:val="24"/>
        </w:rPr>
        <w:t>s</w:t>
      </w:r>
      <w:r w:rsidRPr="000D3AA3">
        <w:rPr>
          <w:rFonts w:cs="Times New Roman"/>
          <w:sz w:val="24"/>
          <w:szCs w:val="24"/>
        </w:rPr>
        <w:t xml:space="preserve"> forth the roles and responsibilities of these entities when project applicants wish to construct electric transmission infrastructure. In addition, it provides a single point of contact for </w:t>
      </w:r>
      <w:r>
        <w:rPr>
          <w:rFonts w:cs="Times New Roman"/>
          <w:sz w:val="24"/>
          <w:szCs w:val="24"/>
        </w:rPr>
        <w:t xml:space="preserve">the </w:t>
      </w:r>
      <w:r w:rsidRPr="000D3AA3">
        <w:rPr>
          <w:rFonts w:cs="Times New Roman"/>
          <w:sz w:val="24"/>
          <w:szCs w:val="24"/>
        </w:rPr>
        <w:t>coordinati</w:t>
      </w:r>
      <w:r>
        <w:rPr>
          <w:rFonts w:cs="Times New Roman"/>
          <w:sz w:val="24"/>
          <w:szCs w:val="24"/>
        </w:rPr>
        <w:t>on of</w:t>
      </w:r>
      <w:r w:rsidRPr="000D3AA3">
        <w:rPr>
          <w:rFonts w:cs="Times New Roman"/>
          <w:sz w:val="24"/>
          <w:szCs w:val="24"/>
        </w:rPr>
        <w:t xml:space="preserve"> all federal authorizations required to site electric transmission facilities on federal lands, which include interests in land administered by the Participating Agencies.</w:t>
      </w:r>
    </w:p>
    <w:p w:rsidR="00267085" w:rsidRPr="000D3AA3" w:rsidRDefault="00267085" w:rsidP="00267085">
      <w:pPr>
        <w:pStyle w:val="NoSpacing"/>
        <w:rPr>
          <w:rFonts w:cs="Times New Roman"/>
          <w:b/>
          <w:sz w:val="24"/>
          <w:szCs w:val="24"/>
        </w:rPr>
      </w:pPr>
    </w:p>
    <w:p w:rsidR="00D84702" w:rsidRDefault="00D84702" w:rsidP="00D84702">
      <w:pPr>
        <w:pStyle w:val="NoSpacing"/>
        <w:rPr>
          <w:b/>
          <w:bCs/>
          <w:sz w:val="24"/>
          <w:szCs w:val="24"/>
        </w:rPr>
      </w:pPr>
      <w:r>
        <w:rPr>
          <w:b/>
          <w:bCs/>
          <w:sz w:val="24"/>
          <w:szCs w:val="24"/>
        </w:rPr>
        <w:t>Programmatic Agreement between Southwestern Power Administration (Southwestern) and Southwest Power Pool, Inc., (SPP) Regional Transmission Organization (RTO)</w:t>
      </w:r>
      <w:r>
        <w:rPr>
          <w:rStyle w:val="CommentReference"/>
        </w:rPr>
        <w:t>  </w:t>
      </w:r>
    </w:p>
    <w:p w:rsidR="00D84702" w:rsidRPr="00477222" w:rsidRDefault="00D84702" w:rsidP="00477222">
      <w:pPr>
        <w:pStyle w:val="NoSpacing"/>
        <w:rPr>
          <w:rFonts w:cs="Times New Roman"/>
          <w:sz w:val="24"/>
          <w:szCs w:val="24"/>
        </w:rPr>
      </w:pPr>
      <w:r w:rsidRPr="00477222">
        <w:rPr>
          <w:rFonts w:cs="Times New Roman"/>
          <w:sz w:val="24"/>
          <w:szCs w:val="24"/>
        </w:rPr>
        <w:t xml:space="preserve">Southwestern has entered into an agreement with SPP, the SPP/Southwestern Agreement, identified and filed by SPP with the Federal Energy Regulatory Commission (FERC) as Attachment AD to SPP’s Open Access Transmission Tariff </w:t>
      </w:r>
      <w:r w:rsidR="00477222">
        <w:rPr>
          <w:rFonts w:cs="Times New Roman"/>
          <w:sz w:val="24"/>
          <w:szCs w:val="24"/>
        </w:rPr>
        <w:t>(</w:t>
      </w:r>
      <w:hyperlink r:id="rId11" w:history="1">
        <w:r w:rsidR="00477222" w:rsidRPr="00917DAD">
          <w:rPr>
            <w:rStyle w:val="Hyperlink"/>
            <w:rFonts w:cs="Times New Roman"/>
            <w:sz w:val="24"/>
            <w:szCs w:val="24"/>
          </w:rPr>
          <w:t>http://www.spp.org/publications/SPP_Tariff.pdf</w:t>
        </w:r>
      </w:hyperlink>
      <w:r w:rsidRPr="00477222">
        <w:rPr>
          <w:rFonts w:cs="Times New Roman"/>
          <w:sz w:val="24"/>
          <w:szCs w:val="24"/>
        </w:rPr>
        <w:t>).  The SPP/Southwestern Agreement, as amended, contains provisions which, among other things</w:t>
      </w:r>
      <w:r w:rsidRPr="00BA18CF">
        <w:rPr>
          <w:rFonts w:cs="Times New Roman"/>
          <w:vertAlign w:val="superscript"/>
        </w:rPr>
        <w:footnoteReference w:id="1"/>
      </w:r>
      <w:r w:rsidRPr="00477222">
        <w:rPr>
          <w:rFonts w:cs="Times New Roman"/>
          <w:sz w:val="24"/>
          <w:szCs w:val="24"/>
        </w:rPr>
        <w:t xml:space="preserve">, function as a Programmatic </w:t>
      </w:r>
      <w:r w:rsidRPr="00477222">
        <w:rPr>
          <w:rFonts w:cs="Times New Roman"/>
          <w:sz w:val="24"/>
          <w:szCs w:val="24"/>
        </w:rPr>
        <w:lastRenderedPageBreak/>
        <w:t>Agreement that identifies the responsibilities of the parties for the review and implementation of interconnections and upgrades.</w:t>
      </w:r>
      <w:r w:rsidR="00477222">
        <w:rPr>
          <w:rFonts w:cs="Times New Roman"/>
          <w:sz w:val="24"/>
          <w:szCs w:val="24"/>
        </w:rPr>
        <w:t xml:space="preserve"> </w:t>
      </w:r>
      <w:r w:rsidRPr="00477222">
        <w:rPr>
          <w:rFonts w:cs="Times New Roman"/>
          <w:sz w:val="24"/>
          <w:szCs w:val="24"/>
        </w:rPr>
        <w:t xml:space="preserve">These provisions are part of </w:t>
      </w:r>
      <w:proofErr w:type="spellStart"/>
      <w:r w:rsidRPr="00477222">
        <w:rPr>
          <w:rFonts w:cs="Times New Roman"/>
          <w:sz w:val="24"/>
          <w:szCs w:val="24"/>
        </w:rPr>
        <w:t>Southwestern’s</w:t>
      </w:r>
      <w:proofErr w:type="spellEnd"/>
      <w:r w:rsidRPr="00477222">
        <w:rPr>
          <w:rFonts w:cs="Times New Roman"/>
          <w:sz w:val="24"/>
          <w:szCs w:val="24"/>
        </w:rPr>
        <w:t xml:space="preserve"> participation in the SPP RTO pursuant to Section 1232 of the Energy Policy Act of 2005 whereby Southwestern has placed part of its transmission facilities under the SPP RTO.  Specifically, Section 14 of Article I of the SPP/Southwestern Agreement states:</w:t>
      </w:r>
    </w:p>
    <w:p w:rsidR="00D84702" w:rsidRPr="00477222" w:rsidRDefault="00D84702" w:rsidP="00477222">
      <w:pPr>
        <w:pStyle w:val="NoSpacing"/>
        <w:rPr>
          <w:rFonts w:cs="Times New Roman"/>
          <w:sz w:val="24"/>
          <w:szCs w:val="24"/>
        </w:rPr>
      </w:pPr>
    </w:p>
    <w:p w:rsidR="004D2CF2" w:rsidRDefault="00D84702" w:rsidP="00477222">
      <w:pPr>
        <w:pStyle w:val="NoSpacing"/>
        <w:rPr>
          <w:rFonts w:cs="Times New Roman"/>
          <w:sz w:val="24"/>
          <w:szCs w:val="24"/>
        </w:rPr>
      </w:pPr>
      <w:r w:rsidRPr="00477222">
        <w:rPr>
          <w:rFonts w:cs="Times New Roman"/>
          <w:sz w:val="24"/>
          <w:szCs w:val="24"/>
        </w:rPr>
        <w:t xml:space="preserve">“Subject to statutes applicable to Southwestern, Southwestern agrees to coordinate its activities with SPP for construction of proposed Non-Federal Transmission Facilities and to seek SPP guidance on the impact of such construction to the bulk transmission system.  The term “Non-Federal Transmission Facilities” as used herein shall be defined as transmission and related facilities not constructed or acquired by Southwestern pursuant to Section 5 of the Flood Control Act of 1944.  No interconnections to </w:t>
      </w:r>
      <w:proofErr w:type="spellStart"/>
      <w:r w:rsidRPr="00477222">
        <w:rPr>
          <w:rFonts w:cs="Times New Roman"/>
          <w:sz w:val="24"/>
          <w:szCs w:val="24"/>
        </w:rPr>
        <w:t>Southwestern‘s</w:t>
      </w:r>
      <w:proofErr w:type="spellEnd"/>
      <w:r w:rsidRPr="00477222">
        <w:rPr>
          <w:rFonts w:cs="Times New Roman"/>
          <w:sz w:val="24"/>
          <w:szCs w:val="24"/>
        </w:rPr>
        <w:t xml:space="preserve"> transmission facilities shall be made without written contractual agreements between Southwestern and the interconnecting party which satisfy </w:t>
      </w:r>
      <w:proofErr w:type="spellStart"/>
      <w:r w:rsidRPr="00477222">
        <w:rPr>
          <w:rFonts w:cs="Times New Roman"/>
          <w:sz w:val="24"/>
          <w:szCs w:val="24"/>
        </w:rPr>
        <w:t>Southwestern‘s</w:t>
      </w:r>
      <w:proofErr w:type="spellEnd"/>
      <w:r w:rsidRPr="00477222">
        <w:rPr>
          <w:rFonts w:cs="Times New Roman"/>
          <w:sz w:val="24"/>
          <w:szCs w:val="24"/>
        </w:rPr>
        <w:t xml:space="preserve"> NEPA</w:t>
      </w:r>
      <w:r w:rsidR="00CE532A">
        <w:rPr>
          <w:rFonts w:cs="Times New Roman"/>
          <w:sz w:val="24"/>
          <w:szCs w:val="24"/>
        </w:rPr>
        <w:t xml:space="preserve"> </w:t>
      </w:r>
      <w:r w:rsidRPr="00477222">
        <w:rPr>
          <w:rFonts w:cs="Times New Roman"/>
          <w:sz w:val="24"/>
          <w:szCs w:val="24"/>
        </w:rPr>
        <w:t xml:space="preserve">requirements and which establish the terms and conditions of the interconnection. Such agreements shall be made pursuant to </w:t>
      </w:r>
      <w:proofErr w:type="spellStart"/>
      <w:r w:rsidRPr="00477222">
        <w:rPr>
          <w:rFonts w:cs="Times New Roman"/>
          <w:sz w:val="24"/>
          <w:szCs w:val="24"/>
        </w:rPr>
        <w:t>Southwestern‘s</w:t>
      </w:r>
      <w:proofErr w:type="spellEnd"/>
      <w:r w:rsidRPr="00477222">
        <w:rPr>
          <w:rFonts w:cs="Times New Roman"/>
          <w:sz w:val="24"/>
          <w:szCs w:val="24"/>
        </w:rPr>
        <w:t xml:space="preserve"> then-current General Requirements for Interconnection as posted on </w:t>
      </w:r>
      <w:proofErr w:type="spellStart"/>
      <w:r w:rsidRPr="00477222">
        <w:rPr>
          <w:rFonts w:cs="Times New Roman"/>
          <w:sz w:val="24"/>
          <w:szCs w:val="24"/>
        </w:rPr>
        <w:t>Southwestern‘s</w:t>
      </w:r>
      <w:proofErr w:type="spellEnd"/>
      <w:r w:rsidRPr="00477222">
        <w:rPr>
          <w:rFonts w:cs="Times New Roman"/>
          <w:sz w:val="24"/>
          <w:szCs w:val="24"/>
        </w:rPr>
        <w:t xml:space="preserve"> Web site, or </w:t>
      </w:r>
      <w:proofErr w:type="spellStart"/>
      <w:r w:rsidRPr="00477222">
        <w:rPr>
          <w:rFonts w:cs="Times New Roman"/>
          <w:sz w:val="24"/>
          <w:szCs w:val="24"/>
        </w:rPr>
        <w:t>Southwestern‘s</w:t>
      </w:r>
      <w:proofErr w:type="spellEnd"/>
      <w:r w:rsidRPr="00477222">
        <w:rPr>
          <w:rFonts w:cs="Times New Roman"/>
          <w:sz w:val="24"/>
          <w:szCs w:val="24"/>
        </w:rPr>
        <w:t xml:space="preserve"> currently accepted Tariff</w:t>
      </w:r>
      <w:r w:rsidRPr="00BA18CF">
        <w:rPr>
          <w:rFonts w:cs="Times New Roman"/>
          <w:vertAlign w:val="superscript"/>
        </w:rPr>
        <w:footnoteReference w:id="2"/>
      </w:r>
      <w:r w:rsidRPr="00477222">
        <w:rPr>
          <w:rFonts w:cs="Times New Roman"/>
          <w:sz w:val="24"/>
          <w:szCs w:val="24"/>
        </w:rPr>
        <w:t xml:space="preserve"> provisions governing generation interconnections, whichever is applicable.  For interconnecting non-Federal generation to the System of Southwestern, the provisions of the SPP Tariff shall be used for determining the feasibility and facility requirements of the SPP Footprint to accommodate the interconnection, excluding requirements for the facilities at the interconnection site, which will be determined by Southwestern.”</w:t>
      </w:r>
    </w:p>
    <w:p w:rsidR="00477222" w:rsidRPr="00477222" w:rsidRDefault="00477222" w:rsidP="00477222">
      <w:pPr>
        <w:pStyle w:val="NoSpacing"/>
        <w:rPr>
          <w:rFonts w:cs="Times New Roman"/>
          <w:sz w:val="24"/>
          <w:szCs w:val="24"/>
        </w:rPr>
      </w:pPr>
    </w:p>
    <w:p w:rsidR="00423112" w:rsidRPr="000D3AA3" w:rsidRDefault="00423112" w:rsidP="009D7777">
      <w:pPr>
        <w:pStyle w:val="NoSpacing"/>
        <w:rPr>
          <w:rFonts w:cs="Times New Roman"/>
          <w:b/>
          <w:sz w:val="24"/>
          <w:szCs w:val="24"/>
        </w:rPr>
      </w:pPr>
      <w:bookmarkStart w:id="0" w:name="MOUINLBLM"/>
      <w:bookmarkEnd w:id="0"/>
      <w:r w:rsidRPr="000D3AA3">
        <w:rPr>
          <w:rFonts w:cs="Times New Roman"/>
          <w:b/>
          <w:sz w:val="24"/>
          <w:szCs w:val="24"/>
        </w:rPr>
        <w:t xml:space="preserve">MOU </w:t>
      </w:r>
      <w:proofErr w:type="gramStart"/>
      <w:r w:rsidRPr="000D3AA3">
        <w:rPr>
          <w:rFonts w:cs="Times New Roman"/>
          <w:b/>
          <w:sz w:val="24"/>
          <w:szCs w:val="24"/>
        </w:rPr>
        <w:t>Between</w:t>
      </w:r>
      <w:proofErr w:type="gramEnd"/>
      <w:r w:rsidRPr="000D3AA3">
        <w:rPr>
          <w:rFonts w:cs="Times New Roman"/>
          <w:b/>
          <w:sz w:val="24"/>
          <w:szCs w:val="24"/>
        </w:rPr>
        <w:t xml:space="preserve"> DOE Loan Programs Office (LPO) and BLM for Projects in California and Nevada</w:t>
      </w:r>
    </w:p>
    <w:p w:rsidR="008050FD" w:rsidRPr="000D3AA3" w:rsidRDefault="00FA4581" w:rsidP="009D7777">
      <w:pPr>
        <w:pStyle w:val="NoSpacing"/>
        <w:rPr>
          <w:rFonts w:cs="Times New Roman"/>
          <w:sz w:val="24"/>
          <w:szCs w:val="24"/>
        </w:rPr>
      </w:pPr>
      <w:r w:rsidRPr="000D3AA3">
        <w:rPr>
          <w:rFonts w:cs="Times New Roman"/>
          <w:sz w:val="24"/>
          <w:szCs w:val="24"/>
        </w:rPr>
        <w:t xml:space="preserve">LPO and the </w:t>
      </w:r>
      <w:r w:rsidR="00267085">
        <w:rPr>
          <w:rFonts w:cs="Times New Roman"/>
          <w:sz w:val="24"/>
          <w:szCs w:val="24"/>
        </w:rPr>
        <w:t xml:space="preserve">U.S. Department of the Interior (DOI), </w:t>
      </w:r>
      <w:r w:rsidRPr="000D3AA3">
        <w:rPr>
          <w:rFonts w:cs="Times New Roman"/>
          <w:sz w:val="24"/>
          <w:szCs w:val="24"/>
        </w:rPr>
        <w:t xml:space="preserve">Bureau of Land Management (BLM) </w:t>
      </w:r>
      <w:proofErr w:type="gramStart"/>
      <w:r w:rsidRPr="000D3AA3">
        <w:rPr>
          <w:rFonts w:cs="Times New Roman"/>
          <w:sz w:val="24"/>
          <w:szCs w:val="24"/>
        </w:rPr>
        <w:t>have</w:t>
      </w:r>
      <w:proofErr w:type="gramEnd"/>
      <w:r w:rsidRPr="000D3AA3">
        <w:rPr>
          <w:rFonts w:cs="Times New Roman"/>
          <w:sz w:val="24"/>
          <w:szCs w:val="24"/>
        </w:rPr>
        <w:t xml:space="preserve"> MOU</w:t>
      </w:r>
      <w:r w:rsidR="00267085">
        <w:rPr>
          <w:rFonts w:cs="Times New Roman"/>
          <w:sz w:val="24"/>
          <w:szCs w:val="24"/>
        </w:rPr>
        <w:t>s</w:t>
      </w:r>
      <w:r w:rsidRPr="000D3AA3">
        <w:rPr>
          <w:rFonts w:cs="Times New Roman"/>
          <w:sz w:val="24"/>
          <w:szCs w:val="24"/>
        </w:rPr>
        <w:t xml:space="preserve"> for the environmental review of renewable energy projects in the States of Nevada and California.   The MOUs serve to document the roles, responsibilities and procedures that will be followed by LPO, the Nevada State BLM Office, and the California BLM State Office pursuant to cooperating agency provisions of NEPA</w:t>
      </w:r>
      <w:r w:rsidR="00961810">
        <w:rPr>
          <w:rFonts w:cs="Times New Roman"/>
          <w:sz w:val="24"/>
          <w:szCs w:val="24"/>
        </w:rPr>
        <w:t xml:space="preserve"> regulations</w:t>
      </w:r>
      <w:r w:rsidRPr="000D3AA3">
        <w:rPr>
          <w:rFonts w:cs="Times New Roman"/>
          <w:sz w:val="24"/>
          <w:szCs w:val="24"/>
        </w:rPr>
        <w:t>. The MOUs clarify responsibilities for lead and cooperating agency status, and provide for the sharing privileged and confidential information.</w:t>
      </w:r>
    </w:p>
    <w:p w:rsidR="00FA4581" w:rsidRPr="000D3AA3" w:rsidRDefault="00FA4581" w:rsidP="009D7777">
      <w:pPr>
        <w:pStyle w:val="NoSpacing"/>
        <w:rPr>
          <w:rFonts w:cs="Times New Roman"/>
          <w:sz w:val="24"/>
          <w:szCs w:val="24"/>
        </w:rPr>
      </w:pPr>
    </w:p>
    <w:p w:rsidR="006F0FC9" w:rsidRPr="000D3AA3" w:rsidRDefault="005F0C3F" w:rsidP="009D7777">
      <w:pPr>
        <w:pStyle w:val="NoSpacing"/>
        <w:rPr>
          <w:rFonts w:cs="Times New Roman"/>
          <w:b/>
          <w:sz w:val="24"/>
          <w:szCs w:val="24"/>
        </w:rPr>
      </w:pPr>
      <w:r w:rsidRPr="000D3AA3">
        <w:rPr>
          <w:rFonts w:cs="Times New Roman"/>
          <w:b/>
          <w:sz w:val="24"/>
          <w:szCs w:val="24"/>
        </w:rPr>
        <w:t xml:space="preserve">MOU </w:t>
      </w:r>
      <w:r w:rsidR="006A1F76" w:rsidRPr="000D3AA3">
        <w:rPr>
          <w:rFonts w:cs="Times New Roman"/>
          <w:b/>
          <w:sz w:val="24"/>
          <w:szCs w:val="24"/>
        </w:rPr>
        <w:t>between</w:t>
      </w:r>
      <w:r w:rsidRPr="000D3AA3">
        <w:rPr>
          <w:rFonts w:cs="Times New Roman"/>
          <w:b/>
          <w:sz w:val="24"/>
          <w:szCs w:val="24"/>
        </w:rPr>
        <w:t xml:space="preserve"> </w:t>
      </w:r>
      <w:r w:rsidR="00B83B21" w:rsidRPr="000D3AA3">
        <w:rPr>
          <w:rFonts w:cs="Times New Roman"/>
          <w:b/>
          <w:sz w:val="24"/>
          <w:szCs w:val="24"/>
        </w:rPr>
        <w:t xml:space="preserve">DOE Idaho Operations Office </w:t>
      </w:r>
      <w:r w:rsidR="006A1F76" w:rsidRPr="000D3AA3">
        <w:rPr>
          <w:rFonts w:cs="Times New Roman"/>
          <w:b/>
          <w:sz w:val="24"/>
          <w:szCs w:val="24"/>
        </w:rPr>
        <w:t xml:space="preserve">(DOE-ID) </w:t>
      </w:r>
      <w:r w:rsidR="00B83B21" w:rsidRPr="000D3AA3">
        <w:rPr>
          <w:rFonts w:cs="Times New Roman"/>
          <w:b/>
          <w:sz w:val="24"/>
          <w:szCs w:val="24"/>
        </w:rPr>
        <w:t>and BLM</w:t>
      </w:r>
      <w:r w:rsidR="006F0FC9" w:rsidRPr="000D3AA3">
        <w:rPr>
          <w:rFonts w:cs="Times New Roman"/>
          <w:b/>
          <w:sz w:val="24"/>
          <w:szCs w:val="24"/>
        </w:rPr>
        <w:t xml:space="preserve"> </w:t>
      </w:r>
    </w:p>
    <w:p w:rsidR="006F0FC9" w:rsidRPr="000D3AA3" w:rsidRDefault="00B83B21" w:rsidP="009D7777">
      <w:pPr>
        <w:spacing w:line="240" w:lineRule="auto"/>
        <w:rPr>
          <w:rFonts w:cs="Times New Roman"/>
          <w:sz w:val="24"/>
          <w:szCs w:val="24"/>
        </w:rPr>
      </w:pPr>
      <w:r w:rsidRPr="000D3AA3">
        <w:rPr>
          <w:rFonts w:cs="Times New Roman"/>
          <w:sz w:val="24"/>
          <w:szCs w:val="24"/>
        </w:rPr>
        <w:t>This</w:t>
      </w:r>
      <w:r w:rsidR="006566B2">
        <w:rPr>
          <w:rFonts w:cs="Times New Roman"/>
          <w:sz w:val="24"/>
          <w:szCs w:val="24"/>
        </w:rPr>
        <w:t xml:space="preserve"> </w:t>
      </w:r>
      <w:r w:rsidR="006566B2" w:rsidRPr="006566B2">
        <w:rPr>
          <w:rFonts w:cs="Times New Roman"/>
          <w:sz w:val="24"/>
          <w:szCs w:val="24"/>
        </w:rPr>
        <w:t>December 2011</w:t>
      </w:r>
      <w:r w:rsidRPr="000D3AA3">
        <w:rPr>
          <w:rFonts w:cs="Times New Roman"/>
          <w:sz w:val="24"/>
          <w:szCs w:val="24"/>
        </w:rPr>
        <w:t xml:space="preserve"> </w:t>
      </w:r>
      <w:hyperlink r:id="rId12" w:history="1">
        <w:r w:rsidRPr="000D3AA3">
          <w:rPr>
            <w:rStyle w:val="Hyperlink"/>
            <w:rFonts w:cs="Times New Roman"/>
            <w:sz w:val="24"/>
            <w:szCs w:val="24"/>
          </w:rPr>
          <w:t>MOU</w:t>
        </w:r>
      </w:hyperlink>
      <w:r w:rsidRPr="000D3AA3">
        <w:rPr>
          <w:rFonts w:cs="Times New Roman"/>
          <w:sz w:val="24"/>
          <w:szCs w:val="24"/>
        </w:rPr>
        <w:t xml:space="preserve"> provides for cooperative management of certain land within the Idaho National Laboratory Site (INL).  The MOU covers issues such as rights-of-way applications, mineral exploration, grazing, predator control, range improvements, noxious weeds and insect infestations, and collaborative resource management, among others</w:t>
      </w:r>
      <w:r w:rsidR="006F0FC9" w:rsidRPr="000D3AA3">
        <w:rPr>
          <w:rFonts w:cs="Times New Roman"/>
          <w:sz w:val="24"/>
          <w:szCs w:val="24"/>
        </w:rPr>
        <w:t xml:space="preserve">. </w:t>
      </w:r>
      <w:r w:rsidR="006A1F76" w:rsidRPr="000D3AA3">
        <w:rPr>
          <w:rFonts w:cs="Times New Roman"/>
          <w:sz w:val="24"/>
          <w:szCs w:val="24"/>
        </w:rPr>
        <w:t xml:space="preserve">The MOU clarifies the responsibilities for which agency is taking the lead on right of way (ROW) applications.   It also </w:t>
      </w:r>
      <w:r w:rsidR="006A1F76" w:rsidRPr="000D3AA3">
        <w:rPr>
          <w:rFonts w:cs="Times New Roman"/>
          <w:sz w:val="24"/>
          <w:szCs w:val="24"/>
        </w:rPr>
        <w:lastRenderedPageBreak/>
        <w:t xml:space="preserve">includes steps to be taken for either agency to process </w:t>
      </w:r>
      <w:r w:rsidR="006566B2">
        <w:rPr>
          <w:rFonts w:cs="Times New Roman"/>
          <w:sz w:val="24"/>
          <w:szCs w:val="24"/>
        </w:rPr>
        <w:t>such applications,</w:t>
      </w:r>
      <w:r w:rsidR="006566B2" w:rsidRPr="000D3AA3">
        <w:rPr>
          <w:rFonts w:cs="Times New Roman"/>
          <w:sz w:val="24"/>
          <w:szCs w:val="24"/>
        </w:rPr>
        <w:t xml:space="preserve"> and it includes the stipulations that any requestor </w:t>
      </w:r>
      <w:r w:rsidR="006566B2">
        <w:rPr>
          <w:rFonts w:cs="Times New Roman"/>
          <w:sz w:val="24"/>
          <w:szCs w:val="24"/>
        </w:rPr>
        <w:t xml:space="preserve">for a ROW </w:t>
      </w:r>
      <w:r w:rsidR="006566B2" w:rsidRPr="000D3AA3">
        <w:rPr>
          <w:rFonts w:cs="Times New Roman"/>
          <w:sz w:val="24"/>
          <w:szCs w:val="24"/>
        </w:rPr>
        <w:t xml:space="preserve">must accept in order to be allowed to have a ROW on the INL.  These are all streamlining steps that save time and reduce ambiguity in </w:t>
      </w:r>
      <w:r w:rsidR="006566B2">
        <w:rPr>
          <w:rFonts w:cs="Times New Roman"/>
          <w:sz w:val="24"/>
          <w:szCs w:val="24"/>
        </w:rPr>
        <w:t>processing ROW applications</w:t>
      </w:r>
      <w:r w:rsidR="006566B2" w:rsidRPr="000D3AA3">
        <w:rPr>
          <w:rFonts w:cs="Times New Roman"/>
          <w:sz w:val="24"/>
          <w:szCs w:val="24"/>
        </w:rPr>
        <w:t>. With th</w:t>
      </w:r>
      <w:r w:rsidR="006566B2">
        <w:rPr>
          <w:rFonts w:cs="Times New Roman"/>
          <w:sz w:val="24"/>
          <w:szCs w:val="24"/>
        </w:rPr>
        <w:t>is</w:t>
      </w:r>
      <w:r w:rsidR="006566B2" w:rsidRPr="000D3AA3">
        <w:rPr>
          <w:rFonts w:cs="Times New Roman"/>
          <w:sz w:val="24"/>
          <w:szCs w:val="24"/>
        </w:rPr>
        <w:t xml:space="preserve"> MOU, DOE-ID </w:t>
      </w:r>
      <w:r w:rsidR="006566B2">
        <w:rPr>
          <w:rFonts w:cs="Times New Roman"/>
          <w:sz w:val="24"/>
          <w:szCs w:val="24"/>
        </w:rPr>
        <w:t>and BLM do not need</w:t>
      </w:r>
      <w:r w:rsidR="006566B2" w:rsidRPr="000D3AA3">
        <w:rPr>
          <w:rFonts w:cs="Times New Roman"/>
          <w:sz w:val="24"/>
          <w:szCs w:val="24"/>
        </w:rPr>
        <w:t xml:space="preserve"> to negotiate </w:t>
      </w:r>
      <w:r w:rsidR="006566B2">
        <w:rPr>
          <w:rFonts w:cs="Times New Roman"/>
          <w:sz w:val="24"/>
          <w:szCs w:val="24"/>
        </w:rPr>
        <w:t xml:space="preserve">each step for </w:t>
      </w:r>
      <w:r w:rsidR="006566B2" w:rsidRPr="000D3AA3">
        <w:rPr>
          <w:rFonts w:cs="Times New Roman"/>
          <w:sz w:val="24"/>
          <w:szCs w:val="24"/>
        </w:rPr>
        <w:t xml:space="preserve">every </w:t>
      </w:r>
      <w:r w:rsidR="006566B2">
        <w:rPr>
          <w:rFonts w:cs="Times New Roman"/>
          <w:sz w:val="24"/>
          <w:szCs w:val="24"/>
        </w:rPr>
        <w:t>application for a ROW.</w:t>
      </w:r>
      <w:r w:rsidR="006F0FC9" w:rsidRPr="000D3AA3">
        <w:rPr>
          <w:rFonts w:cs="Times New Roman"/>
          <w:sz w:val="24"/>
          <w:szCs w:val="24"/>
        </w:rPr>
        <w:t xml:space="preserve"> </w:t>
      </w:r>
    </w:p>
    <w:p w:rsidR="007424D8" w:rsidRPr="000D3AA3" w:rsidRDefault="007424D8" w:rsidP="009D7777">
      <w:pPr>
        <w:spacing w:after="0" w:line="240" w:lineRule="auto"/>
        <w:rPr>
          <w:b/>
          <w:color w:val="1D1B11"/>
          <w:sz w:val="24"/>
          <w:szCs w:val="24"/>
        </w:rPr>
      </w:pPr>
      <w:r w:rsidRPr="000D3AA3">
        <w:rPr>
          <w:rFonts w:cs="Times New Roman"/>
          <w:b/>
          <w:color w:val="1D1B11"/>
          <w:sz w:val="24"/>
          <w:szCs w:val="24"/>
        </w:rPr>
        <w:t xml:space="preserve">Federal Renewable Ocean Energy Working Group </w:t>
      </w:r>
    </w:p>
    <w:p w:rsidR="007424D8" w:rsidRPr="000D3AA3" w:rsidRDefault="000406D7" w:rsidP="009D7777">
      <w:pPr>
        <w:spacing w:after="0" w:line="240" w:lineRule="auto"/>
        <w:rPr>
          <w:sz w:val="24"/>
          <w:szCs w:val="24"/>
        </w:rPr>
      </w:pPr>
      <w:r>
        <w:rPr>
          <w:rFonts w:cs="Times New Roman"/>
          <w:color w:val="1D1B11"/>
          <w:sz w:val="24"/>
          <w:szCs w:val="24"/>
        </w:rPr>
        <w:t>DOE</w:t>
      </w:r>
      <w:r w:rsidR="0056204B">
        <w:rPr>
          <w:rFonts w:cs="Times New Roman"/>
          <w:color w:val="1D1B11"/>
          <w:sz w:val="24"/>
          <w:szCs w:val="24"/>
        </w:rPr>
        <w:t xml:space="preserve"> </w:t>
      </w:r>
      <w:r w:rsidR="007424D8" w:rsidRPr="000D3AA3">
        <w:rPr>
          <w:rFonts w:cs="Times New Roman"/>
          <w:color w:val="1D1B11"/>
          <w:sz w:val="24"/>
          <w:szCs w:val="24"/>
        </w:rPr>
        <w:t>leads the Federal Working Group on Renewable Ocean Energy</w:t>
      </w:r>
      <w:r>
        <w:rPr>
          <w:rFonts w:cs="Times New Roman"/>
          <w:color w:val="1D1B11"/>
          <w:sz w:val="24"/>
          <w:szCs w:val="24"/>
        </w:rPr>
        <w:t>,</w:t>
      </w:r>
      <w:r w:rsidRPr="000406D7">
        <w:rPr>
          <w:rFonts w:cs="Times New Roman"/>
          <w:color w:val="1D1B11"/>
          <w:sz w:val="24"/>
          <w:szCs w:val="24"/>
        </w:rPr>
        <w:t xml:space="preserve"> </w:t>
      </w:r>
      <w:r>
        <w:rPr>
          <w:rFonts w:cs="Times New Roman"/>
          <w:color w:val="1D1B11"/>
          <w:sz w:val="24"/>
          <w:szCs w:val="24"/>
        </w:rPr>
        <w:t xml:space="preserve">which is </w:t>
      </w:r>
      <w:r w:rsidRPr="000D3AA3">
        <w:rPr>
          <w:rFonts w:cs="Times New Roman"/>
          <w:color w:val="1D1B11"/>
          <w:sz w:val="24"/>
          <w:szCs w:val="24"/>
        </w:rPr>
        <w:t>an ad-hoc</w:t>
      </w:r>
      <w:r>
        <w:rPr>
          <w:rFonts w:cs="Times New Roman"/>
          <w:color w:val="1D1B11"/>
          <w:sz w:val="24"/>
          <w:szCs w:val="24"/>
        </w:rPr>
        <w:t>, interagency</w:t>
      </w:r>
      <w:r w:rsidRPr="000D3AA3">
        <w:rPr>
          <w:rFonts w:cs="Times New Roman"/>
          <w:color w:val="1D1B11"/>
          <w:sz w:val="24"/>
          <w:szCs w:val="24"/>
        </w:rPr>
        <w:t xml:space="preserve"> working group to the Ocean Science and Technology </w:t>
      </w:r>
      <w:r>
        <w:rPr>
          <w:rFonts w:cs="Times New Roman"/>
          <w:color w:val="1D1B11"/>
          <w:sz w:val="24"/>
          <w:szCs w:val="24"/>
        </w:rPr>
        <w:t>C</w:t>
      </w:r>
      <w:r w:rsidRPr="000D3AA3">
        <w:rPr>
          <w:rFonts w:cs="Times New Roman"/>
          <w:color w:val="1D1B11"/>
          <w:sz w:val="24"/>
          <w:szCs w:val="24"/>
        </w:rPr>
        <w:t>ommittee’s Interagency Working Group on Ocean Partnerships (IWG-OP).   Th</w:t>
      </w:r>
      <w:r>
        <w:rPr>
          <w:rFonts w:cs="Times New Roman"/>
          <w:color w:val="1D1B11"/>
          <w:sz w:val="24"/>
          <w:szCs w:val="24"/>
        </w:rPr>
        <w:t>e</w:t>
      </w:r>
      <w:r w:rsidRPr="000D3AA3">
        <w:rPr>
          <w:rFonts w:cs="Times New Roman"/>
          <w:color w:val="1D1B11"/>
          <w:sz w:val="24"/>
          <w:szCs w:val="24"/>
        </w:rPr>
        <w:t> Federal Working Group on Renewable Ocean Energy</w:t>
      </w:r>
      <w:r w:rsidR="007424D8" w:rsidRPr="000D3AA3">
        <w:rPr>
          <w:rFonts w:cs="Times New Roman"/>
          <w:color w:val="1D1B11"/>
          <w:sz w:val="24"/>
          <w:szCs w:val="24"/>
        </w:rPr>
        <w:t xml:space="preserve"> works to promote the successful, environmentally and socially responsible deployment of </w:t>
      </w:r>
      <w:r>
        <w:rPr>
          <w:rFonts w:cs="Times New Roman"/>
          <w:color w:val="1D1B11"/>
          <w:sz w:val="24"/>
          <w:szCs w:val="24"/>
        </w:rPr>
        <w:t>marine hydrokinetic</w:t>
      </w:r>
      <w:r w:rsidRPr="000D3AA3">
        <w:rPr>
          <w:rFonts w:cs="Times New Roman"/>
          <w:color w:val="1D1B11"/>
          <w:sz w:val="24"/>
          <w:szCs w:val="24"/>
        </w:rPr>
        <w:t xml:space="preserve"> </w:t>
      </w:r>
      <w:r w:rsidR="007424D8" w:rsidRPr="000D3AA3">
        <w:rPr>
          <w:rFonts w:cs="Times New Roman"/>
          <w:color w:val="1D1B11"/>
          <w:sz w:val="24"/>
          <w:szCs w:val="24"/>
        </w:rPr>
        <w:t xml:space="preserve">devices.  </w:t>
      </w:r>
      <w:r w:rsidR="007424D8" w:rsidRPr="000D3AA3">
        <w:rPr>
          <w:rFonts w:cs="Times New Roman"/>
          <w:color w:val="000000" w:themeColor="text1"/>
          <w:sz w:val="24"/>
          <w:szCs w:val="24"/>
        </w:rPr>
        <w:t>For the last several years, the group has been meeting bi-monthly to</w:t>
      </w:r>
      <w:r w:rsidR="007424D8" w:rsidRPr="000D3AA3">
        <w:rPr>
          <w:rFonts w:cs="Times New Roman"/>
          <w:b/>
          <w:color w:val="000000" w:themeColor="text1"/>
          <w:sz w:val="24"/>
          <w:szCs w:val="24"/>
        </w:rPr>
        <w:t xml:space="preserve"> </w:t>
      </w:r>
      <w:r w:rsidR="007424D8" w:rsidRPr="000D3AA3">
        <w:rPr>
          <w:rFonts w:cs="Times New Roman"/>
          <w:color w:val="000000" w:themeColor="text1"/>
          <w:sz w:val="24"/>
          <w:szCs w:val="24"/>
        </w:rPr>
        <w:t xml:space="preserve">provide feedback on on-going efforts, share information, and discuss emerging policy issues.  </w:t>
      </w:r>
      <w:r w:rsidR="007424D8" w:rsidRPr="000D3AA3">
        <w:rPr>
          <w:rFonts w:cs="Times New Roman"/>
          <w:sz w:val="24"/>
          <w:szCs w:val="24"/>
        </w:rPr>
        <w:t xml:space="preserve">During 2011, DOE started a Resource Assessments and Design Conditions working group under the </w:t>
      </w:r>
      <w:r w:rsidRPr="000D3AA3">
        <w:rPr>
          <w:rFonts w:cs="Times New Roman"/>
          <w:color w:val="1D1B11"/>
          <w:sz w:val="24"/>
          <w:szCs w:val="24"/>
        </w:rPr>
        <w:t>Federal Working Group on Renewable Ocean Energy</w:t>
      </w:r>
      <w:r w:rsidR="007424D8" w:rsidRPr="000D3AA3">
        <w:rPr>
          <w:rFonts w:cs="Times New Roman"/>
          <w:sz w:val="24"/>
          <w:szCs w:val="24"/>
        </w:rPr>
        <w:t>, which hosted a workshop and published a report on research needs based on that workshop</w:t>
      </w:r>
      <w:r w:rsidR="007424D8" w:rsidRPr="000D3AA3">
        <w:rPr>
          <w:sz w:val="24"/>
          <w:szCs w:val="24"/>
        </w:rPr>
        <w:t xml:space="preserve">.  </w:t>
      </w:r>
    </w:p>
    <w:p w:rsidR="001E2DFD" w:rsidRPr="000D3AA3" w:rsidRDefault="001E2DFD" w:rsidP="009D7777">
      <w:pPr>
        <w:spacing w:after="0" w:line="240" w:lineRule="auto"/>
        <w:rPr>
          <w:rFonts w:cs="Times New Roman"/>
          <w:sz w:val="24"/>
          <w:szCs w:val="24"/>
        </w:rPr>
      </w:pPr>
    </w:p>
    <w:p w:rsidR="00267085" w:rsidRDefault="00227C05" w:rsidP="009D7777">
      <w:pPr>
        <w:autoSpaceDE w:val="0"/>
        <w:autoSpaceDN w:val="0"/>
        <w:spacing w:after="0" w:line="240" w:lineRule="auto"/>
        <w:rPr>
          <w:rFonts w:cs="Times New Roman"/>
          <w:b/>
          <w:sz w:val="24"/>
          <w:szCs w:val="24"/>
        </w:rPr>
      </w:pPr>
      <w:r>
        <w:rPr>
          <w:rFonts w:cs="Times New Roman"/>
          <w:b/>
          <w:sz w:val="24"/>
          <w:szCs w:val="24"/>
        </w:rPr>
        <w:t>MOU</w:t>
      </w:r>
      <w:r w:rsidR="0074148B" w:rsidRPr="000D3AA3">
        <w:rPr>
          <w:rFonts w:cs="Times New Roman"/>
          <w:b/>
          <w:sz w:val="24"/>
          <w:szCs w:val="24"/>
        </w:rPr>
        <w:t xml:space="preserve"> among </w:t>
      </w:r>
      <w:r w:rsidR="000406D7">
        <w:rPr>
          <w:rFonts w:cs="Times New Roman"/>
          <w:b/>
          <w:sz w:val="24"/>
          <w:szCs w:val="24"/>
        </w:rPr>
        <w:t xml:space="preserve">the </w:t>
      </w:r>
      <w:r w:rsidR="000406D7" w:rsidRPr="000D3AA3">
        <w:rPr>
          <w:rFonts w:cs="Times New Roman"/>
          <w:b/>
          <w:sz w:val="24"/>
          <w:szCs w:val="24"/>
        </w:rPr>
        <w:t>C</w:t>
      </w:r>
      <w:r w:rsidR="000406D7">
        <w:rPr>
          <w:rFonts w:cs="Times New Roman"/>
          <w:b/>
          <w:sz w:val="24"/>
          <w:szCs w:val="24"/>
        </w:rPr>
        <w:t xml:space="preserve">ouncil on </w:t>
      </w:r>
      <w:r w:rsidR="000406D7" w:rsidRPr="000D3AA3">
        <w:rPr>
          <w:rFonts w:cs="Times New Roman"/>
          <w:b/>
          <w:sz w:val="24"/>
          <w:szCs w:val="24"/>
        </w:rPr>
        <w:t>E</w:t>
      </w:r>
      <w:r w:rsidR="000406D7">
        <w:rPr>
          <w:rFonts w:cs="Times New Roman"/>
          <w:b/>
          <w:sz w:val="24"/>
          <w:szCs w:val="24"/>
        </w:rPr>
        <w:t xml:space="preserve">nvironmental </w:t>
      </w:r>
      <w:r w:rsidR="000406D7" w:rsidRPr="000D3AA3">
        <w:rPr>
          <w:rFonts w:cs="Times New Roman"/>
          <w:b/>
          <w:sz w:val="24"/>
          <w:szCs w:val="24"/>
        </w:rPr>
        <w:t>Q</w:t>
      </w:r>
      <w:r w:rsidR="000406D7">
        <w:rPr>
          <w:rFonts w:cs="Times New Roman"/>
          <w:b/>
          <w:sz w:val="24"/>
          <w:szCs w:val="24"/>
        </w:rPr>
        <w:t>uality</w:t>
      </w:r>
      <w:r w:rsidR="00E52B62">
        <w:rPr>
          <w:rFonts w:cs="Times New Roman"/>
          <w:b/>
          <w:sz w:val="24"/>
          <w:szCs w:val="24"/>
        </w:rPr>
        <w:t xml:space="preserve"> (</w:t>
      </w:r>
      <w:r w:rsidR="0056204B">
        <w:rPr>
          <w:rFonts w:cs="Times New Roman"/>
          <w:b/>
          <w:sz w:val="24"/>
          <w:szCs w:val="24"/>
        </w:rPr>
        <w:t>C</w:t>
      </w:r>
      <w:r w:rsidR="00E52B62">
        <w:rPr>
          <w:rFonts w:cs="Times New Roman"/>
          <w:b/>
          <w:sz w:val="24"/>
          <w:szCs w:val="24"/>
        </w:rPr>
        <w:t>EQ)</w:t>
      </w:r>
      <w:r w:rsidR="000406D7" w:rsidRPr="000D3AA3">
        <w:rPr>
          <w:rFonts w:cs="Times New Roman"/>
          <w:b/>
          <w:sz w:val="24"/>
          <w:szCs w:val="24"/>
        </w:rPr>
        <w:t xml:space="preserve">, </w:t>
      </w:r>
      <w:r w:rsidR="000406D7">
        <w:rPr>
          <w:rFonts w:cs="Times New Roman"/>
          <w:b/>
          <w:sz w:val="24"/>
          <w:szCs w:val="24"/>
        </w:rPr>
        <w:t>DOE</w:t>
      </w:r>
      <w:r w:rsidR="000406D7" w:rsidRPr="000D3AA3">
        <w:rPr>
          <w:rFonts w:cs="Times New Roman"/>
          <w:b/>
          <w:sz w:val="24"/>
          <w:szCs w:val="24"/>
        </w:rPr>
        <w:t xml:space="preserve">, </w:t>
      </w:r>
      <w:r w:rsidR="0056204B">
        <w:rPr>
          <w:rFonts w:cs="Times New Roman"/>
          <w:b/>
          <w:sz w:val="24"/>
          <w:szCs w:val="24"/>
        </w:rPr>
        <w:t xml:space="preserve">United States </w:t>
      </w:r>
      <w:r w:rsidR="000406D7" w:rsidRPr="000D3AA3">
        <w:rPr>
          <w:rFonts w:cs="Times New Roman"/>
          <w:b/>
          <w:sz w:val="24"/>
          <w:szCs w:val="24"/>
        </w:rPr>
        <w:t>D</w:t>
      </w:r>
      <w:r w:rsidR="000406D7">
        <w:rPr>
          <w:rFonts w:cs="Times New Roman"/>
          <w:b/>
          <w:sz w:val="24"/>
          <w:szCs w:val="24"/>
        </w:rPr>
        <w:t>epartment of Defense</w:t>
      </w:r>
      <w:r w:rsidR="00E52B62">
        <w:rPr>
          <w:rFonts w:cs="Times New Roman"/>
          <w:b/>
          <w:sz w:val="24"/>
          <w:szCs w:val="24"/>
        </w:rPr>
        <w:t xml:space="preserve"> (DOD)</w:t>
      </w:r>
      <w:r w:rsidR="000406D7" w:rsidRPr="000D3AA3">
        <w:rPr>
          <w:rFonts w:cs="Times New Roman"/>
          <w:b/>
          <w:sz w:val="24"/>
          <w:szCs w:val="24"/>
        </w:rPr>
        <w:t>, Department of the Army, A</w:t>
      </w:r>
      <w:r w:rsidR="000406D7">
        <w:rPr>
          <w:rFonts w:cs="Times New Roman"/>
          <w:b/>
          <w:sz w:val="24"/>
          <w:szCs w:val="24"/>
        </w:rPr>
        <w:t xml:space="preserve">dvisory </w:t>
      </w:r>
      <w:r w:rsidR="000406D7" w:rsidRPr="000D3AA3">
        <w:rPr>
          <w:rFonts w:cs="Times New Roman"/>
          <w:b/>
          <w:sz w:val="24"/>
          <w:szCs w:val="24"/>
        </w:rPr>
        <w:t>C</w:t>
      </w:r>
      <w:r w:rsidR="000406D7">
        <w:rPr>
          <w:rFonts w:cs="Times New Roman"/>
          <w:b/>
          <w:sz w:val="24"/>
          <w:szCs w:val="24"/>
        </w:rPr>
        <w:t xml:space="preserve">ouncil on </w:t>
      </w:r>
      <w:r w:rsidR="000406D7" w:rsidRPr="000D3AA3">
        <w:rPr>
          <w:rFonts w:cs="Times New Roman"/>
          <w:b/>
          <w:sz w:val="24"/>
          <w:szCs w:val="24"/>
        </w:rPr>
        <w:t>H</w:t>
      </w:r>
      <w:r w:rsidR="000406D7">
        <w:rPr>
          <w:rFonts w:cs="Times New Roman"/>
          <w:b/>
          <w:sz w:val="24"/>
          <w:szCs w:val="24"/>
        </w:rPr>
        <w:t xml:space="preserve">istoric </w:t>
      </w:r>
      <w:r w:rsidR="000406D7" w:rsidRPr="000D3AA3">
        <w:rPr>
          <w:rFonts w:cs="Times New Roman"/>
          <w:b/>
          <w:sz w:val="24"/>
          <w:szCs w:val="24"/>
        </w:rPr>
        <w:t>P</w:t>
      </w:r>
      <w:r w:rsidR="000406D7">
        <w:rPr>
          <w:rFonts w:cs="Times New Roman"/>
          <w:b/>
          <w:sz w:val="24"/>
          <w:szCs w:val="24"/>
        </w:rPr>
        <w:t>reservation</w:t>
      </w:r>
      <w:r w:rsidR="00E52B62">
        <w:rPr>
          <w:rFonts w:cs="Times New Roman"/>
          <w:b/>
          <w:sz w:val="24"/>
          <w:szCs w:val="24"/>
        </w:rPr>
        <w:t xml:space="preserve"> (ACHP)</w:t>
      </w:r>
      <w:r w:rsidR="000406D7" w:rsidRPr="000D3AA3">
        <w:rPr>
          <w:rFonts w:cs="Times New Roman"/>
          <w:b/>
          <w:sz w:val="24"/>
          <w:szCs w:val="24"/>
        </w:rPr>
        <w:t>, U</w:t>
      </w:r>
      <w:r w:rsidR="000406D7">
        <w:rPr>
          <w:rFonts w:cs="Times New Roman"/>
          <w:b/>
          <w:sz w:val="24"/>
          <w:szCs w:val="24"/>
        </w:rPr>
        <w:t>nited States</w:t>
      </w:r>
      <w:r w:rsidR="000406D7" w:rsidRPr="000D3AA3">
        <w:rPr>
          <w:rFonts w:cs="Times New Roman"/>
          <w:b/>
          <w:sz w:val="24"/>
          <w:szCs w:val="24"/>
        </w:rPr>
        <w:t xml:space="preserve"> Coast Guard, </w:t>
      </w:r>
      <w:r w:rsidR="0056204B">
        <w:rPr>
          <w:rFonts w:cs="Times New Roman"/>
          <w:b/>
          <w:sz w:val="24"/>
          <w:szCs w:val="24"/>
        </w:rPr>
        <w:t xml:space="preserve">United States </w:t>
      </w:r>
      <w:r w:rsidR="000406D7">
        <w:rPr>
          <w:rFonts w:cs="Times New Roman"/>
          <w:b/>
          <w:sz w:val="24"/>
          <w:szCs w:val="24"/>
        </w:rPr>
        <w:t>Environmental Protection Agency</w:t>
      </w:r>
      <w:r w:rsidR="00E52B62">
        <w:rPr>
          <w:rFonts w:cs="Times New Roman"/>
          <w:b/>
          <w:sz w:val="24"/>
          <w:szCs w:val="24"/>
        </w:rPr>
        <w:t xml:space="preserve"> (EPA)</w:t>
      </w:r>
      <w:r w:rsidR="000406D7" w:rsidRPr="000D3AA3">
        <w:rPr>
          <w:rFonts w:cs="Times New Roman"/>
          <w:b/>
          <w:sz w:val="24"/>
          <w:szCs w:val="24"/>
        </w:rPr>
        <w:t xml:space="preserve">, </w:t>
      </w:r>
      <w:r w:rsidR="000406D7">
        <w:rPr>
          <w:rFonts w:cs="Times New Roman"/>
          <w:b/>
          <w:sz w:val="24"/>
          <w:szCs w:val="24"/>
        </w:rPr>
        <w:t>United States Fish and Wildlife Service</w:t>
      </w:r>
      <w:r w:rsidR="00E52B62">
        <w:rPr>
          <w:rFonts w:cs="Times New Roman"/>
          <w:b/>
          <w:sz w:val="24"/>
          <w:szCs w:val="24"/>
        </w:rPr>
        <w:t xml:space="preserve"> (FWS)</w:t>
      </w:r>
      <w:r w:rsidR="000406D7" w:rsidRPr="000D3AA3">
        <w:rPr>
          <w:rFonts w:cs="Times New Roman"/>
          <w:b/>
          <w:sz w:val="24"/>
          <w:szCs w:val="24"/>
        </w:rPr>
        <w:t>, F</w:t>
      </w:r>
      <w:r w:rsidR="000406D7">
        <w:rPr>
          <w:rFonts w:cs="Times New Roman"/>
          <w:b/>
          <w:sz w:val="24"/>
          <w:szCs w:val="24"/>
        </w:rPr>
        <w:t>ederal Aviation Administration</w:t>
      </w:r>
      <w:r w:rsidR="00E52B62">
        <w:rPr>
          <w:rFonts w:cs="Times New Roman"/>
          <w:b/>
          <w:sz w:val="24"/>
          <w:szCs w:val="24"/>
        </w:rPr>
        <w:t xml:space="preserve"> (FAA)</w:t>
      </w:r>
      <w:r w:rsidR="000406D7" w:rsidRPr="000D3AA3">
        <w:rPr>
          <w:rFonts w:cs="Times New Roman"/>
          <w:b/>
          <w:sz w:val="24"/>
          <w:szCs w:val="24"/>
        </w:rPr>
        <w:t xml:space="preserve">, </w:t>
      </w:r>
      <w:r w:rsidR="002E7DBE" w:rsidRPr="002E7DBE">
        <w:rPr>
          <w:rFonts w:cs="Times New Roman"/>
          <w:b/>
          <w:sz w:val="24"/>
          <w:szCs w:val="24"/>
        </w:rPr>
        <w:t xml:space="preserve">the Department of Commerce's </w:t>
      </w:r>
      <w:r w:rsidR="000406D7" w:rsidRPr="000D3AA3">
        <w:rPr>
          <w:rFonts w:cs="Times New Roman"/>
          <w:b/>
          <w:sz w:val="24"/>
          <w:szCs w:val="24"/>
        </w:rPr>
        <w:t>N</w:t>
      </w:r>
      <w:r w:rsidR="000406D7">
        <w:rPr>
          <w:rFonts w:cs="Times New Roman"/>
          <w:b/>
          <w:sz w:val="24"/>
          <w:szCs w:val="24"/>
        </w:rPr>
        <w:t xml:space="preserve">ational Oceanic and Atmospheric </w:t>
      </w:r>
      <w:r w:rsidR="000406D7" w:rsidRPr="000D3AA3">
        <w:rPr>
          <w:rFonts w:cs="Times New Roman"/>
          <w:b/>
          <w:sz w:val="24"/>
          <w:szCs w:val="24"/>
        </w:rPr>
        <w:t>A</w:t>
      </w:r>
      <w:r w:rsidR="000406D7">
        <w:rPr>
          <w:rFonts w:cs="Times New Roman"/>
          <w:b/>
          <w:sz w:val="24"/>
          <w:szCs w:val="24"/>
        </w:rPr>
        <w:t>dministration</w:t>
      </w:r>
      <w:r w:rsidR="00E52B62">
        <w:rPr>
          <w:rFonts w:cs="Times New Roman"/>
          <w:b/>
          <w:sz w:val="24"/>
          <w:szCs w:val="24"/>
        </w:rPr>
        <w:t xml:space="preserve"> (NOAA)</w:t>
      </w:r>
      <w:r w:rsidR="000406D7" w:rsidRPr="000D3AA3">
        <w:rPr>
          <w:rFonts w:cs="Times New Roman"/>
          <w:b/>
          <w:sz w:val="24"/>
          <w:szCs w:val="24"/>
        </w:rPr>
        <w:t xml:space="preserve"> </w:t>
      </w:r>
      <w:r w:rsidR="0074148B" w:rsidRPr="000D3AA3">
        <w:rPr>
          <w:rFonts w:cs="Times New Roman"/>
          <w:b/>
          <w:sz w:val="24"/>
          <w:szCs w:val="24"/>
        </w:rPr>
        <w:t>and the Commonwealth of Pennsylvania and the States of Illinois, Michigan, Minnesota, and New York to Create a Great Lakes Offshore Wind Ener</w:t>
      </w:r>
      <w:r w:rsidR="000B4781">
        <w:rPr>
          <w:rFonts w:cs="Times New Roman"/>
          <w:b/>
          <w:sz w:val="24"/>
          <w:szCs w:val="24"/>
        </w:rPr>
        <w:t>g</w:t>
      </w:r>
      <w:r w:rsidR="0074148B" w:rsidRPr="000D3AA3">
        <w:rPr>
          <w:rFonts w:cs="Times New Roman"/>
          <w:b/>
          <w:sz w:val="24"/>
          <w:szCs w:val="24"/>
        </w:rPr>
        <w:t>y Consortium to Coordinate Issues of Regional Applicability for the Purpose of Promoting the Efficient, Expeditious, Orderly and Responsible Evaluation of</w:t>
      </w:r>
      <w:r w:rsidR="00477222">
        <w:rPr>
          <w:rFonts w:cs="Times New Roman"/>
          <w:b/>
          <w:sz w:val="24"/>
          <w:szCs w:val="24"/>
        </w:rPr>
        <w:t xml:space="preserve"> </w:t>
      </w:r>
      <w:r w:rsidR="0074148B" w:rsidRPr="000D3AA3">
        <w:rPr>
          <w:rFonts w:cs="Times New Roman"/>
          <w:b/>
          <w:sz w:val="24"/>
          <w:szCs w:val="24"/>
        </w:rPr>
        <w:t>Offshore Wind Power Projects in the Great Lakes</w:t>
      </w:r>
    </w:p>
    <w:p w:rsidR="007424D8" w:rsidRPr="000D3AA3" w:rsidRDefault="0074148B" w:rsidP="009D7777">
      <w:pPr>
        <w:autoSpaceDE w:val="0"/>
        <w:autoSpaceDN w:val="0"/>
        <w:spacing w:after="0" w:line="240" w:lineRule="auto"/>
        <w:rPr>
          <w:sz w:val="24"/>
          <w:szCs w:val="24"/>
        </w:rPr>
      </w:pPr>
      <w:r w:rsidRPr="000D3AA3">
        <w:rPr>
          <w:rFonts w:cs="Times New Roman"/>
          <w:b/>
          <w:sz w:val="24"/>
          <w:szCs w:val="24"/>
        </w:rPr>
        <w:t xml:space="preserve"> </w:t>
      </w:r>
      <w:r w:rsidR="007424D8" w:rsidRPr="000D3AA3">
        <w:rPr>
          <w:rFonts w:eastAsia="Calibri" w:cs="Times New Roman"/>
          <w:sz w:val="24"/>
          <w:szCs w:val="24"/>
        </w:rPr>
        <w:t>At least eight federal agencies have a regulatory role or review interest in approving offshore wind proposals in the Great Lakes, and each of the eight Great Lakes states</w:t>
      </w:r>
      <w:r w:rsidR="00550602">
        <w:rPr>
          <w:rFonts w:eastAsia="Calibri" w:cs="Times New Roman"/>
          <w:sz w:val="24"/>
          <w:szCs w:val="24"/>
        </w:rPr>
        <w:t xml:space="preserve"> has</w:t>
      </w:r>
      <w:r w:rsidR="007424D8" w:rsidRPr="000D3AA3">
        <w:rPr>
          <w:rFonts w:eastAsia="Calibri" w:cs="Times New Roman"/>
          <w:sz w:val="24"/>
          <w:szCs w:val="24"/>
        </w:rPr>
        <w:t xml:space="preserve"> its own laws and review process for approving offshore wind proposals. With so many agencies involved, and no process in place for ensuring coordination among all relevant agencies, there has been too much potential for duplication and protracted review times, which can be unnecessarily costly to both the relevant government agencies (i.e., tax payers) and prospective developers. Responding to this challenge, a bipartisan federal-state MOU has created the Great Lakes Offshore Wind Energy Consortium (GLOWEC) to support the efficient, expeditious, orderly, and responsible evaluation of offshore wind projects in the Great Lakes. With the MOU, the signatories</w:t>
      </w:r>
      <w:r w:rsidR="00550602">
        <w:rPr>
          <w:rFonts w:eastAsia="Calibri" w:cs="Times New Roman"/>
          <w:sz w:val="24"/>
          <w:szCs w:val="24"/>
        </w:rPr>
        <w:t xml:space="preserve"> (which include 5 of the 8 Great Lakes states)</w:t>
      </w:r>
      <w:r w:rsidR="007424D8" w:rsidRPr="000D3AA3">
        <w:rPr>
          <w:rFonts w:eastAsia="Calibri" w:cs="Times New Roman"/>
          <w:sz w:val="24"/>
          <w:szCs w:val="24"/>
        </w:rPr>
        <w:t xml:space="preserve"> signify the intent to create a Regulatory Roadmap by summer 2013 that describes the regulatory review process, identifies ways to ensure efficient project review, and formulates a clear process to coordinate data collection and dissemination. The MOU will make the regulatory and permit review processes transparent for the benefit of all agencies, as well as for developers so </w:t>
      </w:r>
      <w:r w:rsidR="00550602">
        <w:rPr>
          <w:rFonts w:eastAsia="Calibri" w:cs="Times New Roman"/>
          <w:sz w:val="24"/>
          <w:szCs w:val="24"/>
        </w:rPr>
        <w:t>that the developers</w:t>
      </w:r>
      <w:r w:rsidR="00550602" w:rsidRPr="00550602">
        <w:rPr>
          <w:rFonts w:eastAsia="Calibri" w:cs="Times New Roman"/>
          <w:sz w:val="24"/>
          <w:szCs w:val="24"/>
        </w:rPr>
        <w:t xml:space="preserve"> can know with whom and when they should consult, and what information is necessary for the agencies’ evaluations of proposed projects.</w:t>
      </w:r>
      <w:r w:rsidR="007424D8" w:rsidRPr="000D3AA3">
        <w:rPr>
          <w:rFonts w:eastAsia="Calibri" w:cs="Times New Roman"/>
          <w:sz w:val="24"/>
          <w:szCs w:val="24"/>
        </w:rPr>
        <w:t xml:space="preserve">  </w:t>
      </w:r>
      <w:r w:rsidR="007424D8" w:rsidRPr="000D3AA3">
        <w:rPr>
          <w:sz w:val="24"/>
          <w:szCs w:val="24"/>
        </w:rPr>
        <w:t xml:space="preserve">The MOU does not create or call for creating any new regulatory processes or review requirements; it coordinates regionally-based planning that has the potential to lower costs and improve the efficiency of decisions. The MOU also embodies a </w:t>
      </w:r>
      <w:r w:rsidR="007424D8" w:rsidRPr="000D3AA3">
        <w:rPr>
          <w:sz w:val="24"/>
          <w:szCs w:val="24"/>
        </w:rPr>
        <w:lastRenderedPageBreak/>
        <w:t>fundamental principle of the National Ocean Policy to support sustainable, safe, secure, and productive access to, and uses of the Great Lakes.</w:t>
      </w:r>
    </w:p>
    <w:p w:rsidR="0074148B" w:rsidRPr="000D3AA3" w:rsidRDefault="0074148B" w:rsidP="009D7777">
      <w:pPr>
        <w:spacing w:after="0" w:line="240" w:lineRule="auto"/>
        <w:rPr>
          <w:rFonts w:cs="Times New Roman"/>
          <w:sz w:val="24"/>
          <w:szCs w:val="24"/>
        </w:rPr>
      </w:pPr>
    </w:p>
    <w:p w:rsidR="00267085" w:rsidRDefault="0074148B" w:rsidP="009D7777">
      <w:pPr>
        <w:spacing w:after="0" w:line="240" w:lineRule="auto"/>
        <w:rPr>
          <w:rFonts w:cs="Times New Roman"/>
          <w:b/>
          <w:sz w:val="24"/>
          <w:szCs w:val="24"/>
        </w:rPr>
      </w:pPr>
      <w:r w:rsidRPr="000D3AA3">
        <w:rPr>
          <w:rFonts w:cs="Times New Roman"/>
          <w:b/>
          <w:sz w:val="24"/>
          <w:szCs w:val="24"/>
        </w:rPr>
        <w:t xml:space="preserve">DOE-DOI </w:t>
      </w:r>
      <w:r w:rsidR="00227C05">
        <w:rPr>
          <w:rFonts w:cs="Times New Roman"/>
          <w:b/>
          <w:sz w:val="24"/>
          <w:szCs w:val="24"/>
        </w:rPr>
        <w:t>MOU</w:t>
      </w:r>
      <w:r w:rsidRPr="000D3AA3">
        <w:rPr>
          <w:rFonts w:cs="Times New Roman"/>
          <w:b/>
          <w:sz w:val="24"/>
          <w:szCs w:val="24"/>
        </w:rPr>
        <w:t xml:space="preserve"> for Coordinated Deployment of Offshore Wind and Marine Hydrokinetic Energy</w:t>
      </w:r>
    </w:p>
    <w:p w:rsidR="00477222" w:rsidRDefault="007424D8" w:rsidP="009D7777">
      <w:pPr>
        <w:spacing w:after="0" w:line="240" w:lineRule="auto"/>
        <w:rPr>
          <w:rFonts w:cs="Times New Roman"/>
          <w:sz w:val="24"/>
          <w:szCs w:val="24"/>
        </w:rPr>
      </w:pPr>
      <w:r w:rsidRPr="000D3AA3">
        <w:rPr>
          <w:rFonts w:cs="Times New Roman"/>
          <w:sz w:val="24"/>
          <w:szCs w:val="24"/>
        </w:rPr>
        <w:t>The DOI</w:t>
      </w:r>
      <w:r w:rsidR="00267085">
        <w:rPr>
          <w:rFonts w:cs="Times New Roman"/>
          <w:sz w:val="24"/>
          <w:szCs w:val="24"/>
        </w:rPr>
        <w:t>’s</w:t>
      </w:r>
      <w:r w:rsidRPr="000D3AA3">
        <w:rPr>
          <w:rFonts w:cs="Times New Roman"/>
          <w:sz w:val="24"/>
          <w:szCs w:val="24"/>
        </w:rPr>
        <w:t xml:space="preserve"> Bureau of Ocean Energy, Management, Regulation, and Enforcement (BOEMRE),</w:t>
      </w:r>
      <w:r w:rsidR="00370398">
        <w:rPr>
          <w:rStyle w:val="FootnoteReference"/>
          <w:rFonts w:cs="Times New Roman"/>
          <w:sz w:val="24"/>
          <w:szCs w:val="24"/>
        </w:rPr>
        <w:footnoteReference w:id="3"/>
      </w:r>
      <w:r w:rsidRPr="000D3AA3">
        <w:rPr>
          <w:rFonts w:cs="Times New Roman"/>
          <w:sz w:val="24"/>
          <w:szCs w:val="24"/>
        </w:rPr>
        <w:t xml:space="preserve"> and the</w:t>
      </w:r>
      <w:r w:rsidR="00BD059E">
        <w:rPr>
          <w:rFonts w:cs="Times New Roman"/>
          <w:sz w:val="24"/>
          <w:szCs w:val="24"/>
        </w:rPr>
        <w:t xml:space="preserve"> </w:t>
      </w:r>
      <w:r w:rsidRPr="000D3AA3">
        <w:rPr>
          <w:rFonts w:cs="Times New Roman"/>
          <w:sz w:val="24"/>
          <w:szCs w:val="24"/>
        </w:rPr>
        <w:t xml:space="preserve">DOE Office of Energy Efficiency and Renewable Energy (EERE) signed this MOU in June 2010 in order to prioritize and facilitate environmentally-responsible deployment of commercial-scale offshore wind and marine and hydrokinetic (MHK) energy technologies on the Outer Continental Shelf (OCS) through collaborative efforts on issues of mutual interest.  </w:t>
      </w:r>
      <w:r w:rsidR="00FF6071" w:rsidRPr="000D3AA3">
        <w:rPr>
          <w:rFonts w:cs="Times New Roman"/>
          <w:sz w:val="24"/>
          <w:szCs w:val="24"/>
        </w:rPr>
        <w:t>T</w:t>
      </w:r>
      <w:r w:rsidRPr="000D3AA3">
        <w:rPr>
          <w:rFonts w:cs="Times New Roman"/>
          <w:sz w:val="24"/>
          <w:szCs w:val="24"/>
        </w:rPr>
        <w:t xml:space="preserve">he </w:t>
      </w:r>
      <w:r w:rsidR="00FF6071" w:rsidRPr="000D3AA3">
        <w:rPr>
          <w:rFonts w:cs="Times New Roman"/>
          <w:sz w:val="24"/>
          <w:szCs w:val="24"/>
        </w:rPr>
        <w:t>MOU focuses on d</w:t>
      </w:r>
      <w:r w:rsidR="0074148B" w:rsidRPr="000D3AA3">
        <w:rPr>
          <w:rFonts w:cs="Times New Roman"/>
          <w:sz w:val="24"/>
          <w:szCs w:val="24"/>
        </w:rPr>
        <w:t>eveloping attainable deployment goals for offshore wind on the OCS</w:t>
      </w:r>
      <w:r w:rsidR="00FF6071" w:rsidRPr="000D3AA3">
        <w:rPr>
          <w:rFonts w:cs="Times New Roman"/>
          <w:sz w:val="24"/>
          <w:szCs w:val="24"/>
        </w:rPr>
        <w:t>; r</w:t>
      </w:r>
      <w:r w:rsidR="0074148B" w:rsidRPr="000D3AA3">
        <w:rPr>
          <w:rFonts w:cs="Times New Roman"/>
          <w:sz w:val="24"/>
          <w:szCs w:val="24"/>
        </w:rPr>
        <w:t xml:space="preserve">educing </w:t>
      </w:r>
      <w:proofErr w:type="spellStart"/>
      <w:r w:rsidR="0074148B" w:rsidRPr="000D3AA3">
        <w:rPr>
          <w:rFonts w:cs="Times New Roman"/>
          <w:sz w:val="24"/>
          <w:szCs w:val="24"/>
        </w:rPr>
        <w:t>siting</w:t>
      </w:r>
      <w:proofErr w:type="spellEnd"/>
      <w:r w:rsidR="0074148B" w:rsidRPr="000D3AA3">
        <w:rPr>
          <w:rFonts w:cs="Times New Roman"/>
          <w:sz w:val="24"/>
          <w:szCs w:val="24"/>
        </w:rPr>
        <w:t xml:space="preserve"> and permitting timelines for project developers</w:t>
      </w:r>
      <w:r w:rsidR="00FF6071" w:rsidRPr="000D3AA3">
        <w:rPr>
          <w:rFonts w:cs="Times New Roman"/>
          <w:sz w:val="24"/>
          <w:szCs w:val="24"/>
        </w:rPr>
        <w:t>; i</w:t>
      </w:r>
      <w:r w:rsidR="0074148B" w:rsidRPr="000D3AA3">
        <w:rPr>
          <w:rFonts w:cs="Times New Roman"/>
          <w:sz w:val="24"/>
          <w:szCs w:val="24"/>
        </w:rPr>
        <w:t>mproving resource assessment capabilities</w:t>
      </w:r>
      <w:r w:rsidR="00FF6071" w:rsidRPr="000D3AA3">
        <w:rPr>
          <w:rFonts w:cs="Times New Roman"/>
          <w:sz w:val="24"/>
          <w:szCs w:val="24"/>
        </w:rPr>
        <w:t>; d</w:t>
      </w:r>
      <w:r w:rsidR="0074148B" w:rsidRPr="000D3AA3">
        <w:rPr>
          <w:rFonts w:cs="Times New Roman"/>
          <w:sz w:val="24"/>
          <w:szCs w:val="24"/>
        </w:rPr>
        <w:t>eveloping technical standards for the U.S. offshore wind industry</w:t>
      </w:r>
      <w:r w:rsidR="00FF6071" w:rsidRPr="000D3AA3">
        <w:rPr>
          <w:rFonts w:cs="Times New Roman"/>
          <w:sz w:val="24"/>
          <w:szCs w:val="24"/>
        </w:rPr>
        <w:t>; and r</w:t>
      </w:r>
      <w:r w:rsidR="0074148B" w:rsidRPr="000D3AA3">
        <w:rPr>
          <w:rFonts w:cs="Times New Roman"/>
          <w:sz w:val="24"/>
          <w:szCs w:val="24"/>
        </w:rPr>
        <w:t>educing public acceptance risk through information exchange and public engagement</w:t>
      </w:r>
      <w:r w:rsidR="00FF6071" w:rsidRPr="000D3AA3">
        <w:rPr>
          <w:rFonts w:cs="Times New Roman"/>
          <w:sz w:val="24"/>
          <w:szCs w:val="24"/>
        </w:rPr>
        <w:t>.</w:t>
      </w:r>
      <w:r w:rsidRPr="000D3AA3">
        <w:rPr>
          <w:rFonts w:cs="Times New Roman"/>
          <w:sz w:val="24"/>
          <w:szCs w:val="24"/>
        </w:rPr>
        <w:t xml:space="preserve">  </w:t>
      </w:r>
    </w:p>
    <w:p w:rsidR="00477222" w:rsidRDefault="00477222" w:rsidP="009D7777">
      <w:pPr>
        <w:spacing w:after="0" w:line="240" w:lineRule="auto"/>
        <w:rPr>
          <w:rFonts w:cs="Times New Roman"/>
          <w:sz w:val="24"/>
          <w:szCs w:val="24"/>
        </w:rPr>
      </w:pPr>
    </w:p>
    <w:p w:rsidR="0074148B" w:rsidRPr="000D3AA3" w:rsidRDefault="007424D8" w:rsidP="009D7777">
      <w:pPr>
        <w:spacing w:after="0" w:line="240" w:lineRule="auto"/>
        <w:rPr>
          <w:color w:val="000000" w:themeColor="text1"/>
          <w:sz w:val="24"/>
          <w:szCs w:val="24"/>
        </w:rPr>
      </w:pPr>
      <w:r w:rsidRPr="000D3AA3">
        <w:rPr>
          <w:sz w:val="24"/>
          <w:szCs w:val="24"/>
        </w:rPr>
        <w:t xml:space="preserve">Since signing this MOU, DOI and DOE released a joint strategy document for the development of offshore wind in the U.S: </w:t>
      </w:r>
      <w:hyperlink r:id="rId13" w:history="1">
        <w:r w:rsidRPr="000D3AA3">
          <w:rPr>
            <w:rFonts w:cs="Times New Roman"/>
            <w:i/>
            <w:iCs/>
            <w:color w:val="BA4F16"/>
            <w:sz w:val="24"/>
            <w:szCs w:val="24"/>
            <w:u w:val="single"/>
          </w:rPr>
          <w:t>A National Offshore Wind Strategy: Creating an Offshore Wind Energy Industry in the United States</w:t>
        </w:r>
      </w:hyperlink>
      <w:r w:rsidRPr="000D3AA3">
        <w:rPr>
          <w:rFonts w:cs="Times New Roman"/>
          <w:color w:val="3C4349"/>
          <w:sz w:val="24"/>
          <w:szCs w:val="24"/>
        </w:rPr>
        <w:t xml:space="preserve">.  </w:t>
      </w:r>
      <w:r w:rsidRPr="000D3AA3">
        <w:rPr>
          <w:color w:val="000000" w:themeColor="text1"/>
          <w:sz w:val="24"/>
          <w:szCs w:val="24"/>
        </w:rPr>
        <w:t xml:space="preserve">Among other accomplishments, the two agencies have also co-hosted workshops related to offshore wind environmental research, on resource characterization and modeling, and on leveraging lessons learned from other marine industry sectors.       </w:t>
      </w:r>
    </w:p>
    <w:p w:rsidR="004D2CF2" w:rsidRPr="000D3AA3" w:rsidRDefault="004D2CF2" w:rsidP="009D7777">
      <w:pPr>
        <w:spacing w:after="0" w:line="240" w:lineRule="auto"/>
        <w:rPr>
          <w:rFonts w:cs="Times New Roman"/>
          <w:b/>
          <w:sz w:val="24"/>
          <w:szCs w:val="24"/>
        </w:rPr>
      </w:pPr>
    </w:p>
    <w:p w:rsidR="00267085" w:rsidRDefault="00227C05" w:rsidP="009D7777">
      <w:pPr>
        <w:pStyle w:val="NoSpacing"/>
        <w:rPr>
          <w:rFonts w:cs="Times New Roman"/>
          <w:sz w:val="24"/>
          <w:szCs w:val="24"/>
        </w:rPr>
      </w:pPr>
      <w:r>
        <w:rPr>
          <w:rFonts w:cs="Times New Roman"/>
          <w:b/>
          <w:sz w:val="24"/>
          <w:szCs w:val="24"/>
        </w:rPr>
        <w:t>MOU</w:t>
      </w:r>
      <w:r w:rsidR="00FF6071" w:rsidRPr="000D3AA3">
        <w:rPr>
          <w:rFonts w:cs="Times New Roman"/>
          <w:b/>
          <w:sz w:val="24"/>
          <w:szCs w:val="24"/>
        </w:rPr>
        <w:t xml:space="preserve"> </w:t>
      </w:r>
      <w:r w:rsidR="00BD059E">
        <w:rPr>
          <w:rFonts w:cs="Times New Roman"/>
          <w:b/>
          <w:sz w:val="24"/>
          <w:szCs w:val="24"/>
        </w:rPr>
        <w:t xml:space="preserve">for Hydropower </w:t>
      </w:r>
      <w:r w:rsidR="00CE532A">
        <w:rPr>
          <w:rFonts w:cs="Times New Roman"/>
          <w:b/>
          <w:sz w:val="24"/>
          <w:szCs w:val="24"/>
        </w:rPr>
        <w:t>among Army Corps of Engineers, DOE and DOI</w:t>
      </w:r>
    </w:p>
    <w:p w:rsidR="00570899" w:rsidRPr="000D3AA3" w:rsidRDefault="007424D8" w:rsidP="009D7777">
      <w:pPr>
        <w:pStyle w:val="NoSpacing"/>
        <w:rPr>
          <w:rFonts w:cs="Times New Roman"/>
          <w:sz w:val="24"/>
          <w:szCs w:val="24"/>
        </w:rPr>
      </w:pPr>
      <w:r w:rsidRPr="000D3AA3">
        <w:rPr>
          <w:rFonts w:cs="Times New Roman"/>
          <w:sz w:val="24"/>
          <w:szCs w:val="24"/>
        </w:rPr>
        <w:t>The U.S. Departments of the Interior, Energy, and the Army signed the MOU for Hydropower</w:t>
      </w:r>
      <w:r w:rsidR="00267085">
        <w:rPr>
          <w:rFonts w:cs="Times New Roman"/>
          <w:sz w:val="24"/>
          <w:szCs w:val="24"/>
        </w:rPr>
        <w:t xml:space="preserve"> in March, 2010,</w:t>
      </w:r>
      <w:r w:rsidRPr="000D3AA3">
        <w:rPr>
          <w:rFonts w:cs="Times New Roman"/>
          <w:sz w:val="24"/>
          <w:szCs w:val="24"/>
        </w:rPr>
        <w:t xml:space="preserve"> to help meet the nation’s needs for reliable, affordable, and environmentally sustainable hydropower by building a long-term working relationship, prioritizing similar goals, and aligning ongoing and future renewable energy development efforts</w:t>
      </w:r>
      <w:r w:rsidR="008E3B82">
        <w:rPr>
          <w:rFonts w:cs="Times New Roman"/>
          <w:sz w:val="24"/>
          <w:szCs w:val="24"/>
        </w:rPr>
        <w:t xml:space="preserve">. </w:t>
      </w:r>
      <w:r w:rsidR="00FF6071" w:rsidRPr="000D3AA3">
        <w:rPr>
          <w:rFonts w:cs="Times New Roman"/>
          <w:sz w:val="24"/>
          <w:szCs w:val="24"/>
        </w:rPr>
        <w:t xml:space="preserve"> </w:t>
      </w:r>
      <w:r w:rsidR="00570899" w:rsidRPr="000D3AA3">
        <w:rPr>
          <w:rFonts w:cs="Times New Roman"/>
          <w:sz w:val="24"/>
          <w:szCs w:val="24"/>
        </w:rPr>
        <w:t>Since signing the MOU, the agencies have had significant accomplishments including, among others:</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Completi</w:t>
      </w:r>
      <w:r w:rsidR="00BD059E">
        <w:rPr>
          <w:rFonts w:cs="Times New Roman"/>
          <w:sz w:val="24"/>
          <w:szCs w:val="24"/>
        </w:rPr>
        <w:t>ng</w:t>
      </w:r>
      <w:r w:rsidRPr="000D3AA3">
        <w:rPr>
          <w:rFonts w:cs="Times New Roman"/>
          <w:sz w:val="24"/>
          <w:szCs w:val="24"/>
        </w:rPr>
        <w:t xml:space="preserve"> numerous publically available assessments of different hydropower resources, including the construction of a database for all existing U.S. hydropower infrastructure.</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Collaborating to develop tools for optimizing the operation of hydropower facilities and evaluating the potential for state-of-the-art upgrades and modernizations.</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Working together to produce a report that examines the potential effects of climate change on water available for hydropower generation at federal facilities.</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Coordinating a stakeholder-driven, basin-scale opportunity assessment in the Deschutes River basin in the Pacific Northwest, with the goal of identifying opportunities for increasing both hydropower production and environmental services.</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lastRenderedPageBreak/>
        <w:t>Establishing a Federal Inland Hydropower Working Group, including staff from 15 federal entities that are involved with hydropower in order to share information and increase collaboration.</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Hosting research and development workshops on key areas for the development of new hydropower generation.</w:t>
      </w:r>
    </w:p>
    <w:p w:rsidR="00570899"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Initiating several new studies on pumped storage and the ancillary grid services that can be provided by hydropower.</w:t>
      </w:r>
    </w:p>
    <w:p w:rsidR="001E2DFD" w:rsidRPr="000D3AA3" w:rsidRDefault="00570899" w:rsidP="009D7777">
      <w:pPr>
        <w:pStyle w:val="NoSpacing"/>
        <w:numPr>
          <w:ilvl w:val="1"/>
          <w:numId w:val="24"/>
        </w:numPr>
        <w:ind w:left="1080"/>
        <w:rPr>
          <w:rFonts w:cs="Times New Roman"/>
          <w:sz w:val="24"/>
          <w:szCs w:val="24"/>
        </w:rPr>
      </w:pPr>
      <w:r w:rsidRPr="000D3AA3">
        <w:rPr>
          <w:rFonts w:cs="Times New Roman"/>
          <w:sz w:val="24"/>
          <w:szCs w:val="24"/>
        </w:rPr>
        <w:t>Improving the licensing process for the development of new, privately owned hydropower generation at existing federal dams and water infrastructure</w:t>
      </w:r>
    </w:p>
    <w:p w:rsidR="001E2DFD" w:rsidRPr="000D3AA3" w:rsidRDefault="001E2DFD" w:rsidP="009D7777">
      <w:pPr>
        <w:pStyle w:val="NoSpacing"/>
        <w:rPr>
          <w:rFonts w:cs="Times New Roman"/>
          <w:b/>
          <w:sz w:val="24"/>
          <w:szCs w:val="24"/>
        </w:rPr>
      </w:pPr>
    </w:p>
    <w:p w:rsidR="00267085" w:rsidRDefault="001E2DFD" w:rsidP="009D7777">
      <w:pPr>
        <w:pStyle w:val="NoSpacing"/>
        <w:rPr>
          <w:rFonts w:cs="Times New Roman"/>
          <w:b/>
          <w:sz w:val="24"/>
          <w:szCs w:val="24"/>
        </w:rPr>
      </w:pPr>
      <w:r w:rsidRPr="000D3AA3">
        <w:rPr>
          <w:rFonts w:cs="Times New Roman"/>
          <w:b/>
          <w:sz w:val="24"/>
          <w:szCs w:val="24"/>
        </w:rPr>
        <w:t>MOU between DOE and NOAA on Weather-</w:t>
      </w:r>
      <w:r w:rsidR="00370398">
        <w:rPr>
          <w:rFonts w:cs="Times New Roman"/>
          <w:b/>
          <w:sz w:val="24"/>
          <w:szCs w:val="24"/>
        </w:rPr>
        <w:t>D</w:t>
      </w:r>
      <w:r w:rsidRPr="000D3AA3">
        <w:rPr>
          <w:rFonts w:cs="Times New Roman"/>
          <w:b/>
          <w:sz w:val="24"/>
          <w:szCs w:val="24"/>
        </w:rPr>
        <w:t>ependent and Oceanic Renewable Energy Resources</w:t>
      </w:r>
    </w:p>
    <w:p w:rsidR="001E2DFD" w:rsidRPr="000D3AA3" w:rsidRDefault="00F96433" w:rsidP="009D7777">
      <w:pPr>
        <w:pStyle w:val="NoSpacing"/>
        <w:rPr>
          <w:rFonts w:cs="Times New Roman"/>
          <w:sz w:val="24"/>
          <w:szCs w:val="24"/>
        </w:rPr>
      </w:pPr>
      <w:r w:rsidRPr="000D3AA3">
        <w:rPr>
          <w:rFonts w:cs="Times New Roman"/>
          <w:sz w:val="24"/>
          <w:szCs w:val="24"/>
        </w:rPr>
        <w:t xml:space="preserve">In January 2011, </w:t>
      </w:r>
      <w:r w:rsidR="00BD059E">
        <w:rPr>
          <w:rFonts w:cs="Times New Roman"/>
          <w:sz w:val="24"/>
          <w:szCs w:val="24"/>
        </w:rPr>
        <w:t>DOE</w:t>
      </w:r>
      <w:r w:rsidRPr="000D3AA3">
        <w:rPr>
          <w:rFonts w:cs="Times New Roman"/>
          <w:sz w:val="24"/>
          <w:szCs w:val="24"/>
        </w:rPr>
        <w:t xml:space="preserve"> and </w:t>
      </w:r>
      <w:r w:rsidR="00C90C3B">
        <w:rPr>
          <w:rFonts w:cs="Times New Roman"/>
          <w:sz w:val="24"/>
          <w:szCs w:val="24"/>
        </w:rPr>
        <w:t>NOAA</w:t>
      </w:r>
      <w:r w:rsidR="00BD059E" w:rsidRPr="00936B7F">
        <w:rPr>
          <w:rFonts w:cs="Times New Roman"/>
          <w:sz w:val="24"/>
          <w:szCs w:val="24"/>
        </w:rPr>
        <w:t xml:space="preserve"> signed</w:t>
      </w:r>
      <w:r w:rsidR="00BD059E">
        <w:rPr>
          <w:rFonts w:cs="Times New Roman"/>
          <w:b/>
          <w:sz w:val="24"/>
          <w:szCs w:val="24"/>
        </w:rPr>
        <w:t xml:space="preserve"> </w:t>
      </w:r>
      <w:r w:rsidR="007424D8" w:rsidRPr="000D3AA3">
        <w:rPr>
          <w:rFonts w:cs="Times New Roman"/>
          <w:sz w:val="24"/>
          <w:szCs w:val="24"/>
        </w:rPr>
        <w:t>an agreement to further collaboration between the agencies on renewable energy modeling and weather forecasting. This teaming will enable</w:t>
      </w:r>
      <w:r w:rsidR="00BD059E" w:rsidRPr="00BD059E">
        <w:rPr>
          <w:rFonts w:cs="Times New Roman"/>
          <w:sz w:val="24"/>
          <w:szCs w:val="24"/>
        </w:rPr>
        <w:t xml:space="preserve"> </w:t>
      </w:r>
      <w:r w:rsidR="00BD059E">
        <w:rPr>
          <w:rFonts w:cs="Times New Roman"/>
          <w:sz w:val="24"/>
          <w:szCs w:val="24"/>
        </w:rPr>
        <w:t>the United States’</w:t>
      </w:r>
      <w:r w:rsidR="007424D8" w:rsidRPr="000D3AA3">
        <w:rPr>
          <w:rFonts w:cs="Times New Roman"/>
          <w:sz w:val="24"/>
          <w:szCs w:val="24"/>
        </w:rPr>
        <w:t xml:space="preserve"> renewable energy resources to be used more effectively by business and entrepreneurs. The MOU will encourage the agencies to disseminate weather and climate information needed for renewable energy technologies that are dependent on short-term weather and longer-term climate trends. Better information on weather patterns and improved modeling of the variability of the wind, sun, water, ocean currents, and other sources of renewable energy will ultimately increase the United States' ability to reliably integrate renewable energy into the electrical grid.  An interagency group is working together to meet the goals of the MOU.  Collectively, </w:t>
      </w:r>
      <w:r w:rsidR="00E52B62" w:rsidRPr="000D3AA3">
        <w:rPr>
          <w:rFonts w:cs="Times New Roman"/>
          <w:sz w:val="24"/>
          <w:szCs w:val="24"/>
        </w:rPr>
        <w:t>the</w:t>
      </w:r>
      <w:r w:rsidR="00E52B62">
        <w:rPr>
          <w:rFonts w:cs="Times New Roman"/>
          <w:sz w:val="24"/>
          <w:szCs w:val="24"/>
        </w:rPr>
        <w:t xml:space="preserve"> group is</w:t>
      </w:r>
      <w:r w:rsidR="00E52B62" w:rsidRPr="000D3AA3">
        <w:rPr>
          <w:rFonts w:cs="Times New Roman"/>
          <w:sz w:val="24"/>
          <w:szCs w:val="24"/>
        </w:rPr>
        <w:t xml:space="preserve"> identify</w:t>
      </w:r>
      <w:r w:rsidR="00E52B62">
        <w:rPr>
          <w:rFonts w:cs="Times New Roman"/>
          <w:sz w:val="24"/>
          <w:szCs w:val="24"/>
        </w:rPr>
        <w:t>ing</w:t>
      </w:r>
      <w:r w:rsidR="00E52B62" w:rsidRPr="000D3AA3">
        <w:rPr>
          <w:rFonts w:cs="Times New Roman"/>
          <w:sz w:val="24"/>
          <w:szCs w:val="24"/>
        </w:rPr>
        <w:t xml:space="preserve"> </w:t>
      </w:r>
      <w:r w:rsidR="007424D8" w:rsidRPr="000D3AA3">
        <w:rPr>
          <w:rFonts w:cs="Times New Roman"/>
          <w:sz w:val="24"/>
          <w:szCs w:val="24"/>
        </w:rPr>
        <w:t xml:space="preserve">wind and water power resource characterization data and technology needs.   </w:t>
      </w:r>
    </w:p>
    <w:p w:rsidR="00006A38" w:rsidRPr="000D3AA3" w:rsidRDefault="00006A38" w:rsidP="009D7777">
      <w:pPr>
        <w:pStyle w:val="NoSpacing"/>
        <w:rPr>
          <w:rFonts w:cs="Times New Roman"/>
          <w:sz w:val="24"/>
          <w:szCs w:val="24"/>
        </w:rPr>
      </w:pPr>
    </w:p>
    <w:p w:rsidR="00267085" w:rsidRDefault="00227C05" w:rsidP="009D7777">
      <w:pPr>
        <w:pStyle w:val="Default"/>
        <w:rPr>
          <w:rFonts w:asciiTheme="minorHAnsi" w:hAnsiTheme="minorHAnsi" w:cs="Times New Roman"/>
          <w:b/>
        </w:rPr>
      </w:pPr>
      <w:r>
        <w:rPr>
          <w:rFonts w:asciiTheme="minorHAnsi" w:hAnsiTheme="minorHAnsi" w:cs="Times New Roman"/>
          <w:b/>
        </w:rPr>
        <w:t>MOU</w:t>
      </w:r>
      <w:r w:rsidRPr="000D3AA3">
        <w:rPr>
          <w:rFonts w:asciiTheme="minorHAnsi" w:hAnsiTheme="minorHAnsi" w:cs="Times New Roman"/>
          <w:b/>
        </w:rPr>
        <w:t xml:space="preserve"> </w:t>
      </w:r>
      <w:r w:rsidR="000E4C7B" w:rsidRPr="000D3AA3">
        <w:rPr>
          <w:rFonts w:asciiTheme="minorHAnsi" w:hAnsiTheme="minorHAnsi" w:cs="Times New Roman"/>
          <w:b/>
        </w:rPr>
        <w:t>between DOE and DOI for the Demonstration of Solar Power Technology on Public Lands</w:t>
      </w:r>
    </w:p>
    <w:p w:rsidR="000E4C7B" w:rsidRPr="000D3AA3" w:rsidRDefault="000E4C7B" w:rsidP="009D7777">
      <w:pPr>
        <w:pStyle w:val="Default"/>
        <w:rPr>
          <w:rFonts w:asciiTheme="minorHAnsi" w:hAnsiTheme="minorHAnsi" w:cs="Times New Roman"/>
        </w:rPr>
      </w:pPr>
      <w:r w:rsidRPr="000D3AA3">
        <w:rPr>
          <w:rFonts w:asciiTheme="minorHAnsi" w:hAnsiTheme="minorHAnsi" w:cs="Times New Roman"/>
        </w:rPr>
        <w:t>Through this MOU, DOE and DOI committed to collaborate to advance new solar energy technologies (technologies not currently in use for large-scale solar energy generation) that have the potential to lower the cost of solar power generation, increase the capability of solar power generation through energy storage or other technologies, and reduce the environmental impacts, including technologies to reduce water usage, of utility-scale solar projects</w:t>
      </w:r>
      <w:r w:rsidR="007424D8" w:rsidRPr="000D3AA3">
        <w:rPr>
          <w:rFonts w:asciiTheme="minorHAnsi" w:hAnsiTheme="minorHAnsi" w:cs="Times New Roman"/>
        </w:rPr>
        <w:t>.</w:t>
      </w:r>
    </w:p>
    <w:p w:rsidR="007424D8" w:rsidRPr="000D3AA3" w:rsidRDefault="007424D8" w:rsidP="009D7777">
      <w:pPr>
        <w:pStyle w:val="Default"/>
        <w:rPr>
          <w:rFonts w:asciiTheme="minorHAnsi" w:hAnsiTheme="minorHAnsi" w:cs="Times New Roman"/>
        </w:rPr>
      </w:pPr>
    </w:p>
    <w:p w:rsidR="007424D8" w:rsidRPr="000D3AA3" w:rsidRDefault="007424D8" w:rsidP="009D7777">
      <w:pPr>
        <w:spacing w:after="0" w:line="240" w:lineRule="auto"/>
        <w:rPr>
          <w:sz w:val="24"/>
          <w:szCs w:val="24"/>
        </w:rPr>
      </w:pPr>
      <w:r w:rsidRPr="000D3AA3">
        <w:rPr>
          <w:b/>
          <w:sz w:val="24"/>
          <w:szCs w:val="24"/>
        </w:rPr>
        <w:t>Interagency Field Test &amp; Evaluation (IFT&amp;E) Campaign</w:t>
      </w:r>
    </w:p>
    <w:p w:rsidR="007424D8" w:rsidRPr="000D3AA3" w:rsidRDefault="007424D8" w:rsidP="009D7777">
      <w:pPr>
        <w:spacing w:after="0" w:line="240" w:lineRule="auto"/>
        <w:rPr>
          <w:sz w:val="24"/>
          <w:szCs w:val="24"/>
        </w:rPr>
      </w:pPr>
      <w:r w:rsidRPr="000D3AA3">
        <w:rPr>
          <w:sz w:val="24"/>
          <w:szCs w:val="24"/>
        </w:rPr>
        <w:t xml:space="preserve">The interaction between wind power systems and radar operation has been a known barrier to wind deployment for many years.  Wind turbines reflect radar energy, presenting false targets and clutter, among other effects, which can degrade the operational effectiveness of the radars.  Due to the breadth of impact that wind </w:t>
      </w:r>
      <w:r w:rsidR="00E52B62">
        <w:rPr>
          <w:sz w:val="24"/>
          <w:szCs w:val="24"/>
        </w:rPr>
        <w:t xml:space="preserve">power systems </w:t>
      </w:r>
      <w:r w:rsidR="00E52B62" w:rsidRPr="000D3AA3">
        <w:rPr>
          <w:sz w:val="24"/>
          <w:szCs w:val="24"/>
        </w:rPr>
        <w:t>ha</w:t>
      </w:r>
      <w:r w:rsidR="00E52B62">
        <w:rPr>
          <w:sz w:val="24"/>
          <w:szCs w:val="24"/>
        </w:rPr>
        <w:t>ve</w:t>
      </w:r>
      <w:r w:rsidR="00E52B62" w:rsidRPr="000D3AA3">
        <w:rPr>
          <w:sz w:val="24"/>
          <w:szCs w:val="24"/>
        </w:rPr>
        <w:t xml:space="preserve"> </w:t>
      </w:r>
      <w:r w:rsidRPr="000D3AA3">
        <w:rPr>
          <w:sz w:val="24"/>
          <w:szCs w:val="24"/>
        </w:rPr>
        <w:t>on various radar systems (military, weather, and civilian)</w:t>
      </w:r>
      <w:proofErr w:type="gramStart"/>
      <w:r w:rsidRPr="000D3AA3">
        <w:rPr>
          <w:sz w:val="24"/>
          <w:szCs w:val="24"/>
        </w:rPr>
        <w:t>,</w:t>
      </w:r>
      <w:proofErr w:type="gramEnd"/>
      <w:r w:rsidRPr="000D3AA3">
        <w:rPr>
          <w:sz w:val="24"/>
          <w:szCs w:val="24"/>
        </w:rPr>
        <w:t xml:space="preserve"> coordination is critical to develop successful mitigation options.</w:t>
      </w:r>
    </w:p>
    <w:p w:rsidR="007424D8" w:rsidRPr="000D3AA3" w:rsidRDefault="007424D8" w:rsidP="009D7777">
      <w:pPr>
        <w:spacing w:after="0" w:line="240" w:lineRule="auto"/>
        <w:rPr>
          <w:sz w:val="24"/>
          <w:szCs w:val="24"/>
        </w:rPr>
      </w:pPr>
    </w:p>
    <w:p w:rsidR="007424D8" w:rsidRPr="000D3AA3" w:rsidRDefault="007424D8" w:rsidP="009D7777">
      <w:pPr>
        <w:spacing w:after="0" w:line="240" w:lineRule="auto"/>
        <w:rPr>
          <w:sz w:val="24"/>
          <w:szCs w:val="24"/>
        </w:rPr>
      </w:pPr>
      <w:r w:rsidRPr="000D3AA3">
        <w:rPr>
          <w:sz w:val="24"/>
          <w:szCs w:val="24"/>
        </w:rPr>
        <w:t xml:space="preserve">In 2011, </w:t>
      </w:r>
      <w:r w:rsidR="00E52B62">
        <w:rPr>
          <w:sz w:val="24"/>
          <w:szCs w:val="24"/>
        </w:rPr>
        <w:t>DOE</w:t>
      </w:r>
      <w:r w:rsidRPr="000D3AA3">
        <w:rPr>
          <w:sz w:val="24"/>
          <w:szCs w:val="24"/>
        </w:rPr>
        <w:t xml:space="preserve"> teamed with the Department of Defense, Department of Homeland Security, </w:t>
      </w:r>
      <w:r w:rsidR="00370398">
        <w:rPr>
          <w:sz w:val="24"/>
          <w:szCs w:val="24"/>
        </w:rPr>
        <w:t>FAA</w:t>
      </w:r>
      <w:r w:rsidRPr="000D3AA3">
        <w:rPr>
          <w:sz w:val="24"/>
          <w:szCs w:val="24"/>
        </w:rPr>
        <w:t xml:space="preserve">, and </w:t>
      </w:r>
      <w:r w:rsidR="00370398">
        <w:rPr>
          <w:sz w:val="24"/>
          <w:szCs w:val="24"/>
        </w:rPr>
        <w:t>NOAA</w:t>
      </w:r>
      <w:r w:rsidRPr="000D3AA3">
        <w:rPr>
          <w:sz w:val="24"/>
          <w:szCs w:val="24"/>
        </w:rPr>
        <w:t>, along with Sandia National Lab and MIT-Lincoln Lab to form the Interagency Field Test &amp; Evaluation Campaign.  The collaborative, which also includes energy developers and wind farm owner/operators and many other industry stakeholders, is conducting field tests and system analysis of the physical and operational impact of wind power</w:t>
      </w:r>
      <w:r w:rsidR="00E52B62">
        <w:rPr>
          <w:sz w:val="24"/>
          <w:szCs w:val="24"/>
        </w:rPr>
        <w:t xml:space="preserve"> systems</w:t>
      </w:r>
      <w:r w:rsidRPr="000D3AA3">
        <w:rPr>
          <w:sz w:val="24"/>
          <w:szCs w:val="24"/>
        </w:rPr>
        <w:t xml:space="preserve">, evaluating </w:t>
      </w:r>
      <w:r w:rsidRPr="000D3AA3">
        <w:rPr>
          <w:sz w:val="24"/>
          <w:szCs w:val="24"/>
        </w:rPr>
        <w:lastRenderedPageBreak/>
        <w:t xml:space="preserve">existing technologies to reduce or eliminate radar interference caused by wind turbines, and supporting the development of new tools to mitigate the impact of wind power </w:t>
      </w:r>
      <w:r w:rsidR="00E52B62">
        <w:rPr>
          <w:sz w:val="24"/>
          <w:szCs w:val="24"/>
        </w:rPr>
        <w:t xml:space="preserve">systems </w:t>
      </w:r>
      <w:r w:rsidRPr="000D3AA3">
        <w:rPr>
          <w:sz w:val="24"/>
          <w:szCs w:val="24"/>
        </w:rPr>
        <w:t xml:space="preserve">on radar.  The development of these tools and mitigation measures, based on rigorous science and interagency collaboration will help facilitate </w:t>
      </w:r>
      <w:proofErr w:type="spellStart"/>
      <w:r w:rsidRPr="000D3AA3">
        <w:rPr>
          <w:sz w:val="24"/>
          <w:szCs w:val="24"/>
        </w:rPr>
        <w:t>siting</w:t>
      </w:r>
      <w:proofErr w:type="spellEnd"/>
      <w:r w:rsidRPr="000D3AA3">
        <w:rPr>
          <w:sz w:val="24"/>
          <w:szCs w:val="24"/>
        </w:rPr>
        <w:t xml:space="preserve"> and permitting in sensitive areas around the country.  Presently, IFT&amp;E has completed </w:t>
      </w:r>
      <w:r w:rsidR="00E52B62">
        <w:rPr>
          <w:sz w:val="24"/>
          <w:szCs w:val="24"/>
        </w:rPr>
        <w:t>an</w:t>
      </w:r>
      <w:r w:rsidR="00E52B62" w:rsidRPr="000D3AA3">
        <w:rPr>
          <w:sz w:val="24"/>
          <w:szCs w:val="24"/>
        </w:rPr>
        <w:t xml:space="preserve"> </w:t>
      </w:r>
      <w:r w:rsidRPr="000D3AA3">
        <w:rPr>
          <w:sz w:val="24"/>
          <w:szCs w:val="24"/>
        </w:rPr>
        <w:t xml:space="preserve">initial field test campaign on three mitigation options in Tyler, MN (Nov. 2011 – May 2012) and </w:t>
      </w:r>
      <w:r w:rsidR="00E52B62">
        <w:rPr>
          <w:sz w:val="24"/>
          <w:szCs w:val="24"/>
        </w:rPr>
        <w:t>is</w:t>
      </w:r>
      <w:r w:rsidR="00E52B62" w:rsidRPr="000D3AA3">
        <w:rPr>
          <w:sz w:val="24"/>
          <w:szCs w:val="24"/>
        </w:rPr>
        <w:t xml:space="preserve"> </w:t>
      </w:r>
      <w:r w:rsidRPr="000D3AA3">
        <w:rPr>
          <w:sz w:val="24"/>
          <w:szCs w:val="24"/>
        </w:rPr>
        <w:t>developing</w:t>
      </w:r>
      <w:r w:rsidR="00E52B62">
        <w:rPr>
          <w:sz w:val="24"/>
          <w:szCs w:val="24"/>
        </w:rPr>
        <w:t xml:space="preserve"> the</w:t>
      </w:r>
      <w:r w:rsidRPr="000D3AA3">
        <w:rPr>
          <w:sz w:val="24"/>
          <w:szCs w:val="24"/>
        </w:rPr>
        <w:t xml:space="preserve"> first Field Report and </w:t>
      </w:r>
      <w:r w:rsidR="00E52B62">
        <w:rPr>
          <w:sz w:val="24"/>
          <w:szCs w:val="24"/>
        </w:rPr>
        <w:t xml:space="preserve">an </w:t>
      </w:r>
      <w:r w:rsidRPr="000D3AA3">
        <w:rPr>
          <w:sz w:val="24"/>
          <w:szCs w:val="24"/>
        </w:rPr>
        <w:t xml:space="preserve">operational assessment from </w:t>
      </w:r>
      <w:r w:rsidR="00E52B62">
        <w:rPr>
          <w:sz w:val="24"/>
          <w:szCs w:val="24"/>
        </w:rPr>
        <w:t xml:space="preserve">the </w:t>
      </w:r>
      <w:r w:rsidRPr="000D3AA3">
        <w:rPr>
          <w:sz w:val="24"/>
          <w:szCs w:val="24"/>
        </w:rPr>
        <w:t>first field test.  Follow-up campaigns are scheduled in 2012 (October) and 2013 (April).</w:t>
      </w:r>
    </w:p>
    <w:p w:rsidR="007424D8" w:rsidRPr="000D3AA3" w:rsidRDefault="007424D8" w:rsidP="009D7777">
      <w:pPr>
        <w:spacing w:after="0" w:line="240" w:lineRule="auto"/>
        <w:rPr>
          <w:rFonts w:cs="Arial"/>
          <w:sz w:val="24"/>
          <w:szCs w:val="24"/>
        </w:rPr>
      </w:pPr>
    </w:p>
    <w:p w:rsidR="007424D8" w:rsidRPr="000D3AA3" w:rsidRDefault="007424D8" w:rsidP="009D7777">
      <w:pPr>
        <w:spacing w:after="0" w:line="240" w:lineRule="auto"/>
        <w:rPr>
          <w:b/>
          <w:sz w:val="24"/>
          <w:szCs w:val="24"/>
        </w:rPr>
      </w:pPr>
      <w:r w:rsidRPr="000D3AA3">
        <w:rPr>
          <w:b/>
          <w:sz w:val="24"/>
          <w:szCs w:val="24"/>
        </w:rPr>
        <w:t>National Wind Coordinating Collaborative (NWCC)</w:t>
      </w:r>
    </w:p>
    <w:p w:rsidR="007424D8" w:rsidRPr="000D3AA3" w:rsidRDefault="007424D8" w:rsidP="009D7777">
      <w:pPr>
        <w:spacing w:after="0" w:line="240" w:lineRule="auto"/>
        <w:rPr>
          <w:sz w:val="24"/>
          <w:szCs w:val="24"/>
        </w:rPr>
      </w:pPr>
      <w:r w:rsidRPr="000D3AA3">
        <w:rPr>
          <w:sz w:val="24"/>
          <w:szCs w:val="24"/>
        </w:rPr>
        <w:t>Wind energy’s potential to impact wildlife has been an issue affecting wind development across the U</w:t>
      </w:r>
      <w:r w:rsidR="00AA0CB9">
        <w:rPr>
          <w:sz w:val="24"/>
          <w:szCs w:val="24"/>
        </w:rPr>
        <w:t>.</w:t>
      </w:r>
      <w:r w:rsidRPr="000D3AA3">
        <w:rPr>
          <w:sz w:val="24"/>
          <w:szCs w:val="24"/>
        </w:rPr>
        <w:t>S</w:t>
      </w:r>
      <w:r w:rsidR="00AA0CB9">
        <w:rPr>
          <w:sz w:val="24"/>
          <w:szCs w:val="24"/>
        </w:rPr>
        <w:t>.</w:t>
      </w:r>
      <w:r w:rsidRPr="000D3AA3">
        <w:rPr>
          <w:sz w:val="24"/>
          <w:szCs w:val="24"/>
        </w:rPr>
        <w:t xml:space="preserve"> for many years. To address this issue, DOE formed the NWCC in 1994 as a consensus-based collaborative combining the resources and experience of various wind energy stakeholders, including Federal and State agencies, wind developers, national </w:t>
      </w:r>
      <w:r w:rsidR="00E52B62" w:rsidRPr="000D3AA3">
        <w:rPr>
          <w:sz w:val="24"/>
          <w:szCs w:val="24"/>
        </w:rPr>
        <w:t>lab</w:t>
      </w:r>
      <w:r w:rsidR="00E52B62">
        <w:rPr>
          <w:sz w:val="24"/>
          <w:szCs w:val="24"/>
        </w:rPr>
        <w:t>oratorie</w:t>
      </w:r>
      <w:r w:rsidR="00E52B62" w:rsidRPr="000D3AA3">
        <w:rPr>
          <w:sz w:val="24"/>
          <w:szCs w:val="24"/>
        </w:rPr>
        <w:t xml:space="preserve">s, </w:t>
      </w:r>
      <w:r w:rsidR="00E52B62">
        <w:rPr>
          <w:sz w:val="24"/>
          <w:szCs w:val="24"/>
        </w:rPr>
        <w:t>non-governmental organization</w:t>
      </w:r>
      <w:r w:rsidR="00E52B62" w:rsidRPr="000D3AA3">
        <w:rPr>
          <w:sz w:val="24"/>
          <w:szCs w:val="24"/>
        </w:rPr>
        <w:t>s</w:t>
      </w:r>
      <w:r w:rsidR="00E52B62">
        <w:rPr>
          <w:sz w:val="24"/>
          <w:szCs w:val="24"/>
        </w:rPr>
        <w:t xml:space="preserve"> (NGOs)</w:t>
      </w:r>
      <w:r w:rsidR="00E52B62" w:rsidRPr="000D3AA3">
        <w:rPr>
          <w:sz w:val="24"/>
          <w:szCs w:val="24"/>
        </w:rPr>
        <w:t xml:space="preserve">, </w:t>
      </w:r>
      <w:r w:rsidRPr="000D3AA3">
        <w:rPr>
          <w:sz w:val="24"/>
          <w:szCs w:val="24"/>
        </w:rPr>
        <w:t>and private industry with the mission of supporting the preservation of wildlife and the responsible development of wind power.</w:t>
      </w:r>
    </w:p>
    <w:p w:rsidR="004D2CF2" w:rsidRPr="000D3AA3" w:rsidRDefault="004D2CF2" w:rsidP="009D7777">
      <w:pPr>
        <w:pStyle w:val="Default"/>
        <w:rPr>
          <w:rFonts w:asciiTheme="minorHAnsi" w:hAnsiTheme="minorHAnsi"/>
        </w:rPr>
      </w:pPr>
    </w:p>
    <w:p w:rsidR="007424D8" w:rsidRPr="000D3AA3" w:rsidRDefault="007424D8" w:rsidP="009D7777">
      <w:pPr>
        <w:pStyle w:val="Default"/>
        <w:rPr>
          <w:rFonts w:asciiTheme="minorHAnsi" w:hAnsiTheme="minorHAnsi" w:cs="Times New Roman"/>
          <w:b/>
        </w:rPr>
      </w:pPr>
      <w:r w:rsidRPr="000D3AA3">
        <w:rPr>
          <w:rFonts w:asciiTheme="minorHAnsi" w:hAnsiTheme="minorHAnsi"/>
        </w:rPr>
        <w:t>The NWCC has issued multiple publications on wind and wildlife interactions including a Comprehensive Guide to Studying Wind Energy/Wildlife Interactions (June 2011), and the Birds and Bats Fact Sheet, which summarizes the known bird and bat interactions with land-based wind, including habitat.  Additionally, the NWCC hosts an internationally recognized and attended biennial Wind Wildlife Research Meeting to discuss and synthesize the most recent Wind/Wildlife research.  The NWCC will hold its 9</w:t>
      </w:r>
      <w:r w:rsidRPr="000D3AA3">
        <w:rPr>
          <w:rFonts w:asciiTheme="minorHAnsi" w:hAnsiTheme="minorHAnsi"/>
          <w:vertAlign w:val="superscript"/>
        </w:rPr>
        <w:t>th</w:t>
      </w:r>
      <w:r w:rsidRPr="000D3AA3">
        <w:rPr>
          <w:rFonts w:asciiTheme="minorHAnsi" w:hAnsiTheme="minorHAnsi"/>
        </w:rPr>
        <w:t xml:space="preserve"> Wind Wildlife Research meeting this November (2012), in Denver.  In addition to the efforts listed above, the NWCC also coordinates various research efforts to provide stakeholders with sound science to support </w:t>
      </w:r>
      <w:proofErr w:type="spellStart"/>
      <w:r w:rsidRPr="000D3AA3">
        <w:rPr>
          <w:rFonts w:asciiTheme="minorHAnsi" w:hAnsiTheme="minorHAnsi"/>
        </w:rPr>
        <w:t>siting</w:t>
      </w:r>
      <w:proofErr w:type="spellEnd"/>
      <w:r w:rsidRPr="000D3AA3">
        <w:rPr>
          <w:rFonts w:asciiTheme="minorHAnsi" w:hAnsiTheme="minorHAnsi"/>
        </w:rPr>
        <w:t xml:space="preserve"> and permitting decisions.</w:t>
      </w:r>
    </w:p>
    <w:p w:rsidR="000E4C7B" w:rsidRPr="000D3AA3" w:rsidRDefault="000E4C7B" w:rsidP="009D7777">
      <w:pPr>
        <w:pStyle w:val="NoSpacing"/>
        <w:rPr>
          <w:rFonts w:cs="Times New Roman"/>
          <w:b/>
          <w:sz w:val="24"/>
          <w:szCs w:val="24"/>
        </w:rPr>
      </w:pPr>
    </w:p>
    <w:p w:rsidR="009D7777" w:rsidRPr="000D3AA3" w:rsidRDefault="00C649A5" w:rsidP="009D7777">
      <w:pPr>
        <w:pStyle w:val="NoSpacing"/>
        <w:rPr>
          <w:rFonts w:cs="Times New Roman"/>
          <w:b/>
          <w:sz w:val="24"/>
          <w:szCs w:val="24"/>
        </w:rPr>
      </w:pPr>
      <w:r w:rsidRPr="000D3AA3">
        <w:rPr>
          <w:rFonts w:cs="Times New Roman"/>
          <w:b/>
          <w:sz w:val="24"/>
          <w:szCs w:val="24"/>
        </w:rPr>
        <w:t xml:space="preserve">Solar </w:t>
      </w:r>
      <w:r w:rsidR="005F36E0" w:rsidRPr="000D3AA3">
        <w:rPr>
          <w:rFonts w:cs="Times New Roman"/>
          <w:b/>
          <w:sz w:val="24"/>
          <w:szCs w:val="24"/>
        </w:rPr>
        <w:t xml:space="preserve">Energy </w:t>
      </w:r>
      <w:r w:rsidRPr="000D3AA3">
        <w:rPr>
          <w:rFonts w:cs="Times New Roman"/>
          <w:b/>
          <w:sz w:val="24"/>
          <w:szCs w:val="24"/>
        </w:rPr>
        <w:t>Programmatic Environmental Impact Statement</w:t>
      </w:r>
    </w:p>
    <w:p w:rsidR="00AD365F" w:rsidRPr="000D3AA3" w:rsidRDefault="00097CF1" w:rsidP="009D7777">
      <w:pPr>
        <w:pStyle w:val="NoSpacing"/>
        <w:rPr>
          <w:rFonts w:cs="Times New Roman"/>
          <w:b/>
          <w:sz w:val="24"/>
          <w:szCs w:val="24"/>
        </w:rPr>
      </w:pPr>
      <w:r w:rsidRPr="008D3A17">
        <w:rPr>
          <w:rFonts w:cs="Times New Roman"/>
          <w:sz w:val="24"/>
          <w:szCs w:val="24"/>
        </w:rPr>
        <w:t>DOE’s EERE and DOI’s BLM</w:t>
      </w:r>
      <w:r w:rsidR="00AD365F" w:rsidRPr="008D3A17">
        <w:rPr>
          <w:rFonts w:cs="Times New Roman"/>
          <w:sz w:val="24"/>
          <w:szCs w:val="24"/>
        </w:rPr>
        <w:t xml:space="preserve"> are preparing a Programmatic Environmental Impact Statement (PEIS) to evaluate</w:t>
      </w:r>
      <w:r w:rsidR="00961810" w:rsidRPr="008D3A17">
        <w:t xml:space="preserve"> </w:t>
      </w:r>
      <w:r w:rsidR="00550625" w:rsidRPr="00550625">
        <w:rPr>
          <w:sz w:val="24"/>
          <w:szCs w:val="24"/>
        </w:rPr>
        <w:t>the potential environmental impacts of</w:t>
      </w:r>
      <w:r w:rsidR="00C90C3B">
        <w:t xml:space="preserve"> </w:t>
      </w:r>
      <w:r w:rsidR="00961810" w:rsidRPr="008D3A17">
        <w:rPr>
          <w:rFonts w:cs="Times New Roman"/>
          <w:sz w:val="24"/>
          <w:szCs w:val="24"/>
        </w:rPr>
        <w:t>actions that the agencies are considering to further facilitate utility-scale solar energy development in six southwestern states (Arizona, California, Colorado, Nevada, New Mexico, and Utah). For the BLM, this includes the evaluation of a new Solar Energy Program applicable to solar development on BLM-administered lands. For DOE, it includes the evaluation of developing new guidance to further facilitate utility-scale solar energy development and maximize the mitigation of associated environmental impacts.</w:t>
      </w:r>
    </w:p>
    <w:p w:rsidR="00AD365F" w:rsidRPr="000D3AA3" w:rsidRDefault="00AD365F" w:rsidP="009D7777">
      <w:pPr>
        <w:pStyle w:val="NoSpacing"/>
        <w:rPr>
          <w:rFonts w:cs="Times New Roman"/>
          <w:b/>
          <w:sz w:val="24"/>
          <w:szCs w:val="24"/>
        </w:rPr>
      </w:pPr>
      <w:r w:rsidRPr="000D3AA3">
        <w:rPr>
          <w:rFonts w:cs="Times New Roman"/>
          <w:b/>
          <w:sz w:val="24"/>
          <w:szCs w:val="24"/>
        </w:rPr>
        <w:t xml:space="preserve"> </w:t>
      </w:r>
    </w:p>
    <w:p w:rsidR="009D7777" w:rsidRPr="000D3AA3" w:rsidRDefault="00C649A5" w:rsidP="009D7777">
      <w:pPr>
        <w:pStyle w:val="NoSpacing"/>
        <w:rPr>
          <w:rFonts w:cs="Times New Roman"/>
          <w:b/>
          <w:sz w:val="24"/>
          <w:szCs w:val="24"/>
        </w:rPr>
      </w:pPr>
      <w:r w:rsidRPr="000D3AA3">
        <w:rPr>
          <w:rFonts w:cs="Times New Roman"/>
          <w:b/>
          <w:sz w:val="24"/>
          <w:szCs w:val="24"/>
        </w:rPr>
        <w:t xml:space="preserve">Wind </w:t>
      </w:r>
      <w:r w:rsidR="005F36E0" w:rsidRPr="000D3AA3">
        <w:rPr>
          <w:rFonts w:cs="Times New Roman"/>
          <w:b/>
          <w:sz w:val="24"/>
          <w:szCs w:val="24"/>
        </w:rPr>
        <w:t>Energy P</w:t>
      </w:r>
      <w:r w:rsidRPr="000D3AA3">
        <w:rPr>
          <w:rFonts w:cs="Times New Roman"/>
          <w:b/>
          <w:sz w:val="24"/>
          <w:szCs w:val="24"/>
        </w:rPr>
        <w:t>rogrammatic Environmental Impact Statement</w:t>
      </w:r>
    </w:p>
    <w:p w:rsidR="00C649A5" w:rsidRPr="000D3AA3" w:rsidRDefault="00AD365F" w:rsidP="009D7777">
      <w:pPr>
        <w:pStyle w:val="NoSpacing"/>
        <w:rPr>
          <w:rFonts w:cs="Times New Roman"/>
          <w:sz w:val="24"/>
          <w:szCs w:val="24"/>
        </w:rPr>
      </w:pPr>
      <w:r w:rsidRPr="000D3AA3">
        <w:rPr>
          <w:rFonts w:cs="Times New Roman"/>
          <w:sz w:val="24"/>
          <w:szCs w:val="24"/>
        </w:rPr>
        <w:t xml:space="preserve">BLM </w:t>
      </w:r>
      <w:r w:rsidR="005F36E0" w:rsidRPr="000D3AA3">
        <w:rPr>
          <w:rFonts w:cs="Times New Roman"/>
          <w:sz w:val="24"/>
          <w:szCs w:val="24"/>
        </w:rPr>
        <w:t>issued</w:t>
      </w:r>
      <w:r w:rsidRPr="000D3AA3">
        <w:rPr>
          <w:rFonts w:cs="Times New Roman"/>
          <w:sz w:val="24"/>
          <w:szCs w:val="24"/>
        </w:rPr>
        <w:t xml:space="preserve"> a Final Programmatic Environmental Impact Statement </w:t>
      </w:r>
      <w:r w:rsidR="005F36E0" w:rsidRPr="000D3AA3">
        <w:rPr>
          <w:rFonts w:cs="Times New Roman"/>
          <w:sz w:val="24"/>
          <w:szCs w:val="24"/>
        </w:rPr>
        <w:t xml:space="preserve">in 2005 </w:t>
      </w:r>
      <w:r w:rsidRPr="000D3AA3">
        <w:rPr>
          <w:rFonts w:cs="Times New Roman"/>
          <w:sz w:val="24"/>
          <w:szCs w:val="24"/>
        </w:rPr>
        <w:t>to evaluate issues associated with wind energy development in 11 western states-- Arizona, California, Colorado, Idaho, Montana, Nevada, New Mexico, Oregon, Utah, Washington, and Wyoming—administered by BLM.  DOE collaborated with BLM in the preparation of the PEIS.</w:t>
      </w:r>
    </w:p>
    <w:p w:rsidR="00AD365F" w:rsidRPr="000D3AA3" w:rsidRDefault="00AD365F" w:rsidP="009D7777">
      <w:pPr>
        <w:pStyle w:val="NoSpacing"/>
        <w:rPr>
          <w:rFonts w:cs="Times New Roman"/>
          <w:b/>
          <w:sz w:val="24"/>
          <w:szCs w:val="24"/>
        </w:rPr>
      </w:pPr>
    </w:p>
    <w:p w:rsidR="002703A6" w:rsidRPr="002703A6" w:rsidRDefault="00240D43" w:rsidP="002703A6">
      <w:pPr>
        <w:pStyle w:val="NoSpacing"/>
        <w:rPr>
          <w:rFonts w:cs="Times New Roman"/>
          <w:b/>
          <w:sz w:val="24"/>
          <w:szCs w:val="24"/>
        </w:rPr>
      </w:pPr>
      <w:r w:rsidRPr="00240D43">
        <w:rPr>
          <w:rFonts w:cs="Times New Roman"/>
          <w:b/>
          <w:sz w:val="24"/>
          <w:szCs w:val="24"/>
        </w:rPr>
        <w:lastRenderedPageBreak/>
        <w:t>Western Area Power Administration (Western) Participation in Avian Power Line Interaction Committee (APLIC)</w:t>
      </w:r>
    </w:p>
    <w:p w:rsidR="002703A6" w:rsidRPr="002703A6" w:rsidRDefault="00240D43" w:rsidP="002703A6">
      <w:pPr>
        <w:pStyle w:val="NoSpacing"/>
        <w:rPr>
          <w:rFonts w:cs="Times New Roman"/>
          <w:sz w:val="24"/>
          <w:szCs w:val="24"/>
        </w:rPr>
      </w:pPr>
      <w:r w:rsidRPr="00240D43">
        <w:rPr>
          <w:rFonts w:cs="Times New Roman"/>
          <w:sz w:val="24"/>
          <w:szCs w:val="24"/>
        </w:rPr>
        <w:t>Wes</w:t>
      </w:r>
      <w:r w:rsidR="002703A6">
        <w:rPr>
          <w:rFonts w:cs="Times New Roman"/>
          <w:sz w:val="24"/>
          <w:szCs w:val="24"/>
        </w:rPr>
        <w:t xml:space="preserve">tern is an active member of </w:t>
      </w:r>
      <w:r w:rsidRPr="00240D43">
        <w:rPr>
          <w:rFonts w:cs="Times New Roman"/>
          <w:sz w:val="24"/>
          <w:szCs w:val="24"/>
        </w:rPr>
        <w:t xml:space="preserve">APLIC.  APLIC leads the electric utility industry in protecting avian resources while enhancing reliable energy delivery.  </w:t>
      </w:r>
      <w:r w:rsidR="002703A6">
        <w:rPr>
          <w:rFonts w:cs="Times New Roman"/>
          <w:sz w:val="24"/>
          <w:szCs w:val="24"/>
        </w:rPr>
        <w:t>Western and APLIC</w:t>
      </w:r>
      <w:r w:rsidRPr="00240D43">
        <w:rPr>
          <w:rFonts w:cs="Times New Roman"/>
          <w:sz w:val="24"/>
          <w:szCs w:val="24"/>
        </w:rPr>
        <w:t xml:space="preserve"> work in partnership with utilities, resources agencies, and the public to develop and provide educational resources, identify and fund research, develop and provide cost-effective management options, and serve as the focal point for avian interaction utility issues. </w:t>
      </w:r>
    </w:p>
    <w:p w:rsidR="002703A6" w:rsidRPr="002703A6" w:rsidRDefault="002703A6" w:rsidP="002703A6">
      <w:pPr>
        <w:pStyle w:val="NoSpacing"/>
        <w:rPr>
          <w:rFonts w:cs="Times New Roman"/>
          <w:sz w:val="24"/>
          <w:szCs w:val="24"/>
        </w:rPr>
      </w:pPr>
    </w:p>
    <w:p w:rsidR="002703A6" w:rsidRPr="002703A6" w:rsidRDefault="00240D43" w:rsidP="002703A6">
      <w:pPr>
        <w:pStyle w:val="NoSpacing"/>
        <w:rPr>
          <w:rFonts w:cs="Times New Roman"/>
          <w:sz w:val="24"/>
          <w:szCs w:val="24"/>
        </w:rPr>
      </w:pPr>
      <w:r w:rsidRPr="00240D43">
        <w:rPr>
          <w:rFonts w:cs="Times New Roman"/>
          <w:sz w:val="24"/>
          <w:szCs w:val="24"/>
        </w:rPr>
        <w:t xml:space="preserve">Western has funded, in partnership with APLIC, multiple research projects testing minimization measures and mitigation techniques for reducing the impacts of power line infrastructure on avian populations.  </w:t>
      </w:r>
    </w:p>
    <w:p w:rsidR="002703A6" w:rsidRPr="002703A6" w:rsidRDefault="002703A6" w:rsidP="002703A6">
      <w:pPr>
        <w:pStyle w:val="NoSpacing"/>
        <w:rPr>
          <w:rFonts w:cs="Times New Roman"/>
          <w:sz w:val="24"/>
          <w:szCs w:val="24"/>
        </w:rPr>
      </w:pPr>
    </w:p>
    <w:p w:rsidR="002703A6" w:rsidRPr="002703A6" w:rsidRDefault="0055381D" w:rsidP="002703A6">
      <w:pPr>
        <w:pStyle w:val="NoSpacing"/>
        <w:rPr>
          <w:rFonts w:cs="Times New Roman"/>
          <w:sz w:val="24"/>
          <w:szCs w:val="24"/>
        </w:rPr>
      </w:pPr>
      <w:r>
        <w:rPr>
          <w:rFonts w:cs="Times New Roman"/>
          <w:sz w:val="24"/>
          <w:szCs w:val="24"/>
        </w:rPr>
        <w:t>FWS</w:t>
      </w:r>
      <w:r w:rsidRPr="00240D43">
        <w:rPr>
          <w:rFonts w:cs="Times New Roman"/>
          <w:sz w:val="24"/>
          <w:szCs w:val="24"/>
        </w:rPr>
        <w:t xml:space="preserve"> </w:t>
      </w:r>
      <w:r w:rsidR="00240D43" w:rsidRPr="00240D43">
        <w:rPr>
          <w:rFonts w:cs="Times New Roman"/>
          <w:sz w:val="24"/>
          <w:szCs w:val="24"/>
        </w:rPr>
        <w:t xml:space="preserve">has also established Programmatic Biological Opinions under Section 7 of the Endangered Species Act to streamline </w:t>
      </w:r>
      <w:r w:rsidR="00AA0CB9">
        <w:rPr>
          <w:rFonts w:cs="Times New Roman"/>
          <w:sz w:val="24"/>
          <w:szCs w:val="24"/>
        </w:rPr>
        <w:t>the</w:t>
      </w:r>
      <w:r w:rsidR="00AA0CB9" w:rsidRPr="00240D43">
        <w:rPr>
          <w:rFonts w:cs="Times New Roman"/>
          <w:sz w:val="24"/>
          <w:szCs w:val="24"/>
        </w:rPr>
        <w:t xml:space="preserve"> </w:t>
      </w:r>
      <w:r w:rsidR="00240D43" w:rsidRPr="00240D43">
        <w:rPr>
          <w:rFonts w:cs="Times New Roman"/>
          <w:sz w:val="24"/>
          <w:szCs w:val="24"/>
        </w:rPr>
        <w:t xml:space="preserve">consultation process for routine maintenance and operation of </w:t>
      </w:r>
      <w:r w:rsidR="00AA0CB9">
        <w:rPr>
          <w:rFonts w:cs="Times New Roman"/>
          <w:sz w:val="24"/>
          <w:szCs w:val="24"/>
        </w:rPr>
        <w:t>Western’s</w:t>
      </w:r>
      <w:r w:rsidR="00AA0CB9" w:rsidRPr="00240D43">
        <w:rPr>
          <w:rFonts w:cs="Times New Roman"/>
          <w:sz w:val="24"/>
          <w:szCs w:val="24"/>
        </w:rPr>
        <w:t xml:space="preserve"> </w:t>
      </w:r>
      <w:r w:rsidR="00240D43" w:rsidRPr="00240D43">
        <w:rPr>
          <w:rFonts w:cs="Times New Roman"/>
          <w:sz w:val="24"/>
          <w:szCs w:val="24"/>
        </w:rPr>
        <w:t xml:space="preserve">system.  This programmatic approach allows Western and the </w:t>
      </w:r>
      <w:r w:rsidR="002703A6">
        <w:rPr>
          <w:rFonts w:cs="Times New Roman"/>
          <w:sz w:val="24"/>
          <w:szCs w:val="24"/>
        </w:rPr>
        <w:t>FWS</w:t>
      </w:r>
      <w:r w:rsidR="00240D43" w:rsidRPr="00240D43">
        <w:rPr>
          <w:rFonts w:cs="Times New Roman"/>
          <w:sz w:val="24"/>
          <w:szCs w:val="24"/>
        </w:rPr>
        <w:t xml:space="preserve"> to quickly and efficiently review project impacts and have clear expectations and response times to common operational needs, saving staff resources and money for both agencies.</w:t>
      </w:r>
    </w:p>
    <w:p w:rsidR="00D55B1A" w:rsidRDefault="00D55B1A">
      <w:pPr>
        <w:spacing w:after="0" w:line="240" w:lineRule="auto"/>
        <w:rPr>
          <w:rFonts w:cs="Times New Roman"/>
          <w:i/>
          <w:color w:val="000000" w:themeColor="text1"/>
          <w:sz w:val="24"/>
          <w:szCs w:val="24"/>
        </w:rPr>
      </w:pPr>
    </w:p>
    <w:p w:rsidR="00D55B1A" w:rsidRDefault="00D55B1A">
      <w:pPr>
        <w:spacing w:after="0" w:line="240" w:lineRule="auto"/>
        <w:rPr>
          <w:rFonts w:cs="Times New Roman"/>
          <w:sz w:val="24"/>
          <w:szCs w:val="24"/>
        </w:rPr>
      </w:pPr>
    </w:p>
    <w:p w:rsidR="00D55B1A" w:rsidRDefault="00EB5347">
      <w:pPr>
        <w:pStyle w:val="Heading2"/>
        <w:numPr>
          <w:ilvl w:val="0"/>
          <w:numId w:val="4"/>
        </w:numPr>
        <w:spacing w:before="0" w:line="240" w:lineRule="auto"/>
        <w:rPr>
          <w:rFonts w:asciiTheme="minorHAnsi" w:hAnsiTheme="minorHAnsi" w:cs="Times New Roman"/>
          <w:i/>
          <w:color w:val="000000" w:themeColor="text1"/>
          <w:sz w:val="24"/>
          <w:szCs w:val="24"/>
        </w:rPr>
      </w:pPr>
      <w:r w:rsidRPr="000D3AA3">
        <w:rPr>
          <w:rFonts w:asciiTheme="minorHAnsi" w:hAnsiTheme="minorHAnsi" w:cs="Times New Roman"/>
          <w:i/>
          <w:color w:val="000000" w:themeColor="text1"/>
          <w:sz w:val="24"/>
          <w:szCs w:val="24"/>
        </w:rPr>
        <w:t>Use of Mapping Technology</w:t>
      </w:r>
      <w:r w:rsidR="00041848" w:rsidRPr="000D3AA3">
        <w:rPr>
          <w:rFonts w:asciiTheme="minorHAnsi" w:hAnsiTheme="minorHAnsi" w:cs="Times New Roman"/>
          <w:i/>
          <w:color w:val="000000" w:themeColor="text1"/>
          <w:sz w:val="24"/>
          <w:szCs w:val="24"/>
        </w:rPr>
        <w:t xml:space="preserve"> and Other Planning Tools</w:t>
      </w:r>
    </w:p>
    <w:p w:rsidR="00D55B1A" w:rsidRDefault="00D55B1A">
      <w:pPr>
        <w:spacing w:after="0" w:line="240" w:lineRule="auto"/>
        <w:rPr>
          <w:sz w:val="24"/>
          <w:szCs w:val="24"/>
        </w:rPr>
      </w:pPr>
    </w:p>
    <w:p w:rsidR="00ED6464" w:rsidRPr="000D3AA3" w:rsidRDefault="00ED6464" w:rsidP="009D7777">
      <w:pPr>
        <w:pStyle w:val="NoSpacing"/>
        <w:rPr>
          <w:rFonts w:cs="Times New Roman"/>
          <w:b/>
          <w:sz w:val="24"/>
          <w:szCs w:val="24"/>
        </w:rPr>
      </w:pPr>
      <w:r w:rsidRPr="000D3AA3">
        <w:rPr>
          <w:rFonts w:cs="Times New Roman"/>
          <w:b/>
          <w:sz w:val="24"/>
          <w:szCs w:val="24"/>
        </w:rPr>
        <w:t xml:space="preserve">Idaho National Laboratory </w:t>
      </w:r>
      <w:proofErr w:type="spellStart"/>
      <w:r w:rsidRPr="000D3AA3">
        <w:rPr>
          <w:rFonts w:cs="Times New Roman"/>
          <w:b/>
          <w:sz w:val="24"/>
          <w:szCs w:val="24"/>
        </w:rPr>
        <w:t>iMAP</w:t>
      </w:r>
      <w:proofErr w:type="spellEnd"/>
      <w:r w:rsidRPr="000D3AA3">
        <w:rPr>
          <w:rFonts w:cs="Times New Roman"/>
          <w:b/>
          <w:sz w:val="24"/>
          <w:szCs w:val="24"/>
        </w:rPr>
        <w:t xml:space="preserve"> GIS Application for Land Management</w:t>
      </w:r>
    </w:p>
    <w:p w:rsidR="00555150" w:rsidRPr="000D3AA3" w:rsidRDefault="00555150" w:rsidP="009D7777">
      <w:pPr>
        <w:pStyle w:val="NoSpacing"/>
        <w:rPr>
          <w:rFonts w:cs="Times New Roman"/>
          <w:sz w:val="24"/>
          <w:szCs w:val="24"/>
        </w:rPr>
      </w:pPr>
      <w:r w:rsidRPr="000D3AA3">
        <w:rPr>
          <w:rFonts w:cs="Times New Roman"/>
          <w:sz w:val="24"/>
          <w:szCs w:val="24"/>
        </w:rPr>
        <w:t xml:space="preserve">In recent years, the DOE Idaho Operations Office (DOE-ID) has received a growing number of requests from outside entities to use, or have access to land on the INL site. </w:t>
      </w:r>
      <w:r w:rsidR="009125E4">
        <w:rPr>
          <w:rFonts w:cs="Times New Roman"/>
          <w:sz w:val="24"/>
          <w:szCs w:val="24"/>
        </w:rPr>
        <w:t xml:space="preserve"> </w:t>
      </w:r>
      <w:r w:rsidRPr="000D3AA3">
        <w:rPr>
          <w:rFonts w:cs="Times New Roman"/>
          <w:sz w:val="24"/>
          <w:szCs w:val="24"/>
        </w:rPr>
        <w:t xml:space="preserve">These requests have ranged from access for power transmission lines to communication towers.  In order to ensure consistency in handling these requests, the Operations Office has developed a policy detailing how </w:t>
      </w:r>
      <w:r w:rsidR="00097CF1">
        <w:rPr>
          <w:rFonts w:cs="Times New Roman"/>
          <w:sz w:val="24"/>
          <w:szCs w:val="24"/>
        </w:rPr>
        <w:t>to</w:t>
      </w:r>
      <w:r w:rsidR="0020363C">
        <w:rPr>
          <w:rFonts w:cs="Times New Roman"/>
          <w:sz w:val="24"/>
          <w:szCs w:val="24"/>
        </w:rPr>
        <w:t xml:space="preserve"> </w:t>
      </w:r>
      <w:r w:rsidRPr="000D3AA3">
        <w:rPr>
          <w:rFonts w:cs="Times New Roman"/>
          <w:sz w:val="24"/>
          <w:szCs w:val="24"/>
        </w:rPr>
        <w:t>consider the requests.</w:t>
      </w:r>
    </w:p>
    <w:p w:rsidR="00555150" w:rsidRPr="000D3AA3" w:rsidRDefault="00555150" w:rsidP="009D7777">
      <w:pPr>
        <w:pStyle w:val="NoSpacing"/>
        <w:rPr>
          <w:rFonts w:cs="Times New Roman"/>
          <w:sz w:val="24"/>
          <w:szCs w:val="24"/>
        </w:rPr>
      </w:pPr>
    </w:p>
    <w:p w:rsidR="00555150" w:rsidRPr="000D3AA3" w:rsidRDefault="00555150" w:rsidP="009D7777">
      <w:pPr>
        <w:pStyle w:val="NoSpacing"/>
        <w:rPr>
          <w:rFonts w:cs="Times New Roman"/>
          <w:sz w:val="24"/>
          <w:szCs w:val="24"/>
        </w:rPr>
      </w:pPr>
      <w:r w:rsidRPr="000D3AA3">
        <w:rPr>
          <w:rFonts w:cs="Times New Roman"/>
          <w:sz w:val="24"/>
          <w:szCs w:val="24"/>
        </w:rPr>
        <w:t xml:space="preserve">The </w:t>
      </w:r>
      <w:r w:rsidR="00097CF1">
        <w:rPr>
          <w:rFonts w:cs="Times New Roman"/>
          <w:sz w:val="24"/>
          <w:szCs w:val="24"/>
        </w:rPr>
        <w:t>ROW</w:t>
      </w:r>
      <w:r w:rsidR="00152AE3">
        <w:rPr>
          <w:rFonts w:cs="Times New Roman"/>
          <w:sz w:val="24"/>
          <w:szCs w:val="24"/>
        </w:rPr>
        <w:t>s</w:t>
      </w:r>
      <w:r w:rsidRPr="000D3AA3">
        <w:rPr>
          <w:rFonts w:cs="Times New Roman"/>
          <w:sz w:val="24"/>
          <w:szCs w:val="24"/>
        </w:rPr>
        <w:t xml:space="preserve"> across the INL site are normally issued by</w:t>
      </w:r>
      <w:r w:rsidR="0020363C">
        <w:rPr>
          <w:rFonts w:cs="Times New Roman"/>
          <w:sz w:val="24"/>
          <w:szCs w:val="24"/>
        </w:rPr>
        <w:t xml:space="preserve"> BLM</w:t>
      </w:r>
      <w:r w:rsidRPr="000D3AA3">
        <w:rPr>
          <w:rFonts w:cs="Times New Roman"/>
          <w:sz w:val="24"/>
          <w:szCs w:val="24"/>
        </w:rPr>
        <w:t xml:space="preserve"> with review and approval by DOE-ID.  A </w:t>
      </w:r>
      <w:r w:rsidR="00152AE3">
        <w:rPr>
          <w:rFonts w:cs="Times New Roman"/>
          <w:sz w:val="24"/>
          <w:szCs w:val="24"/>
        </w:rPr>
        <w:t>MOU</w:t>
      </w:r>
      <w:r w:rsidRPr="000D3AA3">
        <w:rPr>
          <w:rFonts w:cs="Times New Roman"/>
          <w:sz w:val="24"/>
          <w:szCs w:val="24"/>
        </w:rPr>
        <w:t xml:space="preserve"> between DOE-ID and </w:t>
      </w:r>
      <w:r w:rsidR="00277AAE" w:rsidRPr="000D3AA3">
        <w:rPr>
          <w:rFonts w:cs="Times New Roman"/>
          <w:sz w:val="24"/>
          <w:szCs w:val="24"/>
        </w:rPr>
        <w:t>BLM</w:t>
      </w:r>
      <w:r w:rsidRPr="000D3AA3">
        <w:rPr>
          <w:rFonts w:cs="Times New Roman"/>
          <w:sz w:val="24"/>
          <w:szCs w:val="24"/>
        </w:rPr>
        <w:t xml:space="preserve"> details the approval process and is described </w:t>
      </w:r>
      <w:hyperlink w:anchor="MOUINLBLM" w:history="1">
        <w:r w:rsidRPr="000D3AA3">
          <w:rPr>
            <w:rStyle w:val="Hyperlink"/>
            <w:rFonts w:cs="Times New Roman"/>
            <w:sz w:val="24"/>
            <w:szCs w:val="24"/>
          </w:rPr>
          <w:t>above</w:t>
        </w:r>
      </w:hyperlink>
      <w:r w:rsidRPr="000D3AA3">
        <w:rPr>
          <w:rFonts w:cs="Times New Roman"/>
          <w:sz w:val="24"/>
          <w:szCs w:val="24"/>
        </w:rPr>
        <w:t>.</w:t>
      </w:r>
      <w:r w:rsidR="004727E5" w:rsidRPr="000D3AA3">
        <w:rPr>
          <w:rFonts w:cs="Times New Roman"/>
          <w:sz w:val="24"/>
          <w:szCs w:val="24"/>
        </w:rPr>
        <w:t xml:space="preserve">  </w:t>
      </w:r>
      <w:r w:rsidRPr="000D3AA3">
        <w:rPr>
          <w:rFonts w:cs="Times New Roman"/>
          <w:sz w:val="24"/>
          <w:szCs w:val="24"/>
        </w:rPr>
        <w:t>In the past, evaluation of land grants and land use was done by searching hard copy records in multiple locations and maintained by multiple sources.  This undocumented process was very resource intensive and slow</w:t>
      </w:r>
      <w:r w:rsidR="00097CF1">
        <w:rPr>
          <w:rFonts w:cs="Times New Roman"/>
          <w:sz w:val="24"/>
          <w:szCs w:val="24"/>
        </w:rPr>
        <w:t xml:space="preserve">, and </w:t>
      </w:r>
      <w:r w:rsidRPr="000D3AA3">
        <w:rPr>
          <w:rFonts w:cs="Times New Roman"/>
          <w:sz w:val="24"/>
          <w:szCs w:val="24"/>
        </w:rPr>
        <w:t xml:space="preserve">resulted in inconsistent responses to requestors.  </w:t>
      </w:r>
    </w:p>
    <w:p w:rsidR="00555150" w:rsidRPr="000D3AA3" w:rsidRDefault="00555150" w:rsidP="009D7777">
      <w:pPr>
        <w:pStyle w:val="NoSpacing"/>
        <w:rPr>
          <w:rFonts w:cs="Times New Roman"/>
          <w:sz w:val="24"/>
          <w:szCs w:val="24"/>
        </w:rPr>
      </w:pPr>
    </w:p>
    <w:p w:rsidR="00555150" w:rsidRPr="000D3AA3" w:rsidRDefault="00555150" w:rsidP="009D7777">
      <w:pPr>
        <w:pStyle w:val="NoSpacing"/>
        <w:rPr>
          <w:rFonts w:cs="Times New Roman"/>
          <w:sz w:val="24"/>
          <w:szCs w:val="24"/>
        </w:rPr>
      </w:pPr>
      <w:r w:rsidRPr="000D3AA3">
        <w:rPr>
          <w:rFonts w:cs="Times New Roman"/>
          <w:sz w:val="24"/>
          <w:szCs w:val="24"/>
        </w:rPr>
        <w:t xml:space="preserve">DOE and INL created the </w:t>
      </w:r>
      <w:proofErr w:type="spellStart"/>
      <w:r w:rsidRPr="000D3AA3">
        <w:rPr>
          <w:rFonts w:cs="Times New Roman"/>
          <w:sz w:val="24"/>
          <w:szCs w:val="24"/>
        </w:rPr>
        <w:t>iMAP</w:t>
      </w:r>
      <w:proofErr w:type="spellEnd"/>
      <w:r w:rsidRPr="000D3AA3">
        <w:rPr>
          <w:rFonts w:cs="Times New Roman"/>
          <w:sz w:val="24"/>
          <w:szCs w:val="24"/>
        </w:rPr>
        <w:t xml:space="preserve"> application to govern how INL monitors, stores and retrieves Rights-of-Wa</w:t>
      </w:r>
      <w:r w:rsidR="00E40C52">
        <w:rPr>
          <w:rFonts w:cs="Times New Roman"/>
          <w:sz w:val="24"/>
          <w:szCs w:val="24"/>
        </w:rPr>
        <w:t>y</w:t>
      </w:r>
      <w:r w:rsidRPr="000D3AA3">
        <w:rPr>
          <w:rFonts w:cs="Times New Roman"/>
          <w:sz w:val="24"/>
          <w:szCs w:val="24"/>
        </w:rPr>
        <w:t xml:space="preserve"> and </w:t>
      </w:r>
      <w:r w:rsidR="00152AE3">
        <w:rPr>
          <w:rFonts w:cs="Times New Roman"/>
          <w:sz w:val="24"/>
          <w:szCs w:val="24"/>
        </w:rPr>
        <w:t>l</w:t>
      </w:r>
      <w:r w:rsidRPr="000D3AA3">
        <w:rPr>
          <w:rFonts w:cs="Times New Roman"/>
          <w:sz w:val="24"/>
          <w:szCs w:val="24"/>
        </w:rPr>
        <w:t xml:space="preserve">and </w:t>
      </w:r>
      <w:r w:rsidR="00152AE3">
        <w:rPr>
          <w:rFonts w:cs="Times New Roman"/>
          <w:sz w:val="24"/>
          <w:szCs w:val="24"/>
        </w:rPr>
        <w:t>u</w:t>
      </w:r>
      <w:r w:rsidRPr="000D3AA3">
        <w:rPr>
          <w:rFonts w:cs="Times New Roman"/>
          <w:sz w:val="24"/>
          <w:szCs w:val="24"/>
        </w:rPr>
        <w:t>se information, and provide</w:t>
      </w:r>
      <w:r w:rsidR="00097CF1">
        <w:rPr>
          <w:rFonts w:cs="Times New Roman"/>
          <w:sz w:val="24"/>
          <w:szCs w:val="24"/>
        </w:rPr>
        <w:t>s</w:t>
      </w:r>
      <w:r w:rsidRPr="000D3AA3">
        <w:rPr>
          <w:rFonts w:cs="Times New Roman"/>
          <w:sz w:val="24"/>
          <w:szCs w:val="24"/>
        </w:rPr>
        <w:t xml:space="preserve"> a consistent process for DOE and INL to evaluate land use requests.  The </w:t>
      </w:r>
      <w:proofErr w:type="spellStart"/>
      <w:r w:rsidRPr="000D3AA3">
        <w:rPr>
          <w:rFonts w:cs="Times New Roman"/>
          <w:sz w:val="24"/>
          <w:szCs w:val="24"/>
        </w:rPr>
        <w:t>iMAP</w:t>
      </w:r>
      <w:proofErr w:type="spellEnd"/>
      <w:r w:rsidRPr="000D3AA3">
        <w:rPr>
          <w:rFonts w:cs="Times New Roman"/>
          <w:sz w:val="24"/>
          <w:szCs w:val="24"/>
        </w:rPr>
        <w:t xml:space="preserve"> application is a combination of two projects.</w:t>
      </w:r>
    </w:p>
    <w:p w:rsidR="00555150" w:rsidRPr="000D3AA3" w:rsidRDefault="00555150" w:rsidP="009D7777">
      <w:pPr>
        <w:pStyle w:val="NoSpacing"/>
        <w:rPr>
          <w:rFonts w:cs="Times New Roman"/>
          <w:sz w:val="24"/>
          <w:szCs w:val="24"/>
        </w:rPr>
      </w:pPr>
    </w:p>
    <w:p w:rsidR="00555150" w:rsidRPr="000D3AA3" w:rsidRDefault="00555150" w:rsidP="009D7777">
      <w:pPr>
        <w:pStyle w:val="NoSpacing"/>
        <w:rPr>
          <w:rFonts w:cs="Times New Roman"/>
          <w:sz w:val="24"/>
          <w:szCs w:val="24"/>
        </w:rPr>
      </w:pPr>
      <w:r w:rsidRPr="000D3AA3">
        <w:rPr>
          <w:rFonts w:cs="Times New Roman"/>
          <w:sz w:val="24"/>
          <w:szCs w:val="24"/>
        </w:rPr>
        <w:t>First, INL create</w:t>
      </w:r>
      <w:r w:rsidR="004727E5" w:rsidRPr="000D3AA3">
        <w:rPr>
          <w:rFonts w:cs="Times New Roman"/>
          <w:sz w:val="24"/>
          <w:szCs w:val="24"/>
        </w:rPr>
        <w:t>d</w:t>
      </w:r>
      <w:r w:rsidRPr="000D3AA3">
        <w:rPr>
          <w:rFonts w:cs="Times New Roman"/>
          <w:sz w:val="24"/>
          <w:szCs w:val="24"/>
        </w:rPr>
        <w:t xml:space="preserve"> an ROW application where individual lan</w:t>
      </w:r>
      <w:r w:rsidR="004727E5" w:rsidRPr="000D3AA3">
        <w:rPr>
          <w:rFonts w:cs="Times New Roman"/>
          <w:sz w:val="24"/>
          <w:szCs w:val="24"/>
        </w:rPr>
        <w:t>d</w:t>
      </w:r>
      <w:r w:rsidRPr="000D3AA3">
        <w:rPr>
          <w:rFonts w:cs="Times New Roman"/>
          <w:sz w:val="24"/>
          <w:szCs w:val="24"/>
        </w:rPr>
        <w:t xml:space="preserve"> grant and serial page records can quickly be viewed by moving the cursor over the INL map to the place of interest.  A table of grants for the location selected appears with hyperlink access to the detailed documents.  Other functions include query tools that allow searching by grantee, interactive printing and intuitive map controls. </w:t>
      </w:r>
    </w:p>
    <w:p w:rsidR="00555150" w:rsidRPr="000D3AA3" w:rsidRDefault="00555150" w:rsidP="009D7777">
      <w:pPr>
        <w:pStyle w:val="NoSpacing"/>
        <w:rPr>
          <w:rFonts w:cs="Times New Roman"/>
          <w:sz w:val="24"/>
          <w:szCs w:val="24"/>
        </w:rPr>
      </w:pPr>
    </w:p>
    <w:p w:rsidR="004727E5" w:rsidRPr="000D3AA3" w:rsidRDefault="00555150" w:rsidP="009D7777">
      <w:pPr>
        <w:spacing w:line="240" w:lineRule="auto"/>
        <w:rPr>
          <w:rFonts w:cs="Times New Roman"/>
          <w:sz w:val="24"/>
          <w:szCs w:val="24"/>
        </w:rPr>
      </w:pPr>
      <w:r w:rsidRPr="000D3AA3">
        <w:rPr>
          <w:rFonts w:cs="Times New Roman"/>
          <w:sz w:val="24"/>
          <w:szCs w:val="24"/>
        </w:rPr>
        <w:lastRenderedPageBreak/>
        <w:t xml:space="preserve">Second, INL created a </w:t>
      </w:r>
      <w:hyperlink r:id="rId14" w:history="1">
        <w:r w:rsidR="00277AAE" w:rsidRPr="000D3AA3">
          <w:rPr>
            <w:rStyle w:val="Hyperlink"/>
            <w:rFonts w:cs="Times New Roman"/>
            <w:sz w:val="24"/>
            <w:szCs w:val="24"/>
          </w:rPr>
          <w:t>Comprehensive Utility Corridor</w:t>
        </w:r>
      </w:hyperlink>
      <w:r w:rsidR="00277AAE" w:rsidRPr="000D3AA3">
        <w:rPr>
          <w:rFonts w:cs="Times New Roman"/>
          <w:sz w:val="24"/>
          <w:szCs w:val="24"/>
        </w:rPr>
        <w:t xml:space="preserve"> (</w:t>
      </w:r>
      <w:r w:rsidRPr="000D3AA3">
        <w:rPr>
          <w:rFonts w:cs="Times New Roman"/>
          <w:sz w:val="24"/>
          <w:szCs w:val="24"/>
        </w:rPr>
        <w:t>CUC</w:t>
      </w:r>
      <w:r w:rsidR="00277AAE" w:rsidRPr="000D3AA3">
        <w:rPr>
          <w:rFonts w:cs="Times New Roman"/>
          <w:sz w:val="24"/>
          <w:szCs w:val="24"/>
        </w:rPr>
        <w:t>)</w:t>
      </w:r>
      <w:r w:rsidRPr="000D3AA3">
        <w:rPr>
          <w:rFonts w:cs="Times New Roman"/>
          <w:sz w:val="24"/>
          <w:szCs w:val="24"/>
        </w:rPr>
        <w:t xml:space="preserve"> application</w:t>
      </w:r>
      <w:r w:rsidR="004727E5" w:rsidRPr="000D3AA3">
        <w:rPr>
          <w:rFonts w:cs="Times New Roman"/>
          <w:sz w:val="24"/>
          <w:szCs w:val="24"/>
        </w:rPr>
        <w:t xml:space="preserve"> which</w:t>
      </w:r>
      <w:r w:rsidRPr="000D3AA3">
        <w:rPr>
          <w:rFonts w:cs="Times New Roman"/>
          <w:sz w:val="24"/>
          <w:szCs w:val="24"/>
        </w:rPr>
        <w:t xml:space="preserve"> initiated the gathering and development of Geographic Information System (GIS) data layers representing mission critical areas, facilities and infrastructure, county boundaries, cultural areas, ecological areas, environmental monitoring areas and restricted areas.</w:t>
      </w:r>
      <w:r w:rsidR="00277AAE" w:rsidRPr="000D3AA3">
        <w:rPr>
          <w:rFonts w:cs="Times New Roman"/>
          <w:sz w:val="24"/>
          <w:szCs w:val="24"/>
        </w:rPr>
        <w:t xml:space="preserve">  </w:t>
      </w:r>
    </w:p>
    <w:p w:rsidR="00555150" w:rsidRPr="000D3AA3" w:rsidRDefault="00555150" w:rsidP="009D7777">
      <w:pPr>
        <w:pStyle w:val="NoSpacing"/>
        <w:rPr>
          <w:rFonts w:cs="Times New Roman"/>
          <w:sz w:val="24"/>
          <w:szCs w:val="24"/>
        </w:rPr>
      </w:pPr>
      <w:r w:rsidRPr="000D3AA3">
        <w:rPr>
          <w:rFonts w:cs="Times New Roman"/>
          <w:sz w:val="24"/>
          <w:szCs w:val="24"/>
        </w:rPr>
        <w:t xml:space="preserve">The </w:t>
      </w:r>
      <w:proofErr w:type="spellStart"/>
      <w:r w:rsidRPr="000D3AA3">
        <w:rPr>
          <w:rFonts w:cs="Times New Roman"/>
          <w:sz w:val="24"/>
          <w:szCs w:val="24"/>
        </w:rPr>
        <w:t>iMAP</w:t>
      </w:r>
      <w:proofErr w:type="spellEnd"/>
      <w:r w:rsidRPr="000D3AA3">
        <w:rPr>
          <w:rFonts w:cs="Times New Roman"/>
          <w:sz w:val="24"/>
          <w:szCs w:val="24"/>
        </w:rPr>
        <w:t xml:space="preserve"> application, because of data sensitivity, is only internal to INL at the present time.  </w:t>
      </w:r>
      <w:r w:rsidR="00B549FD">
        <w:rPr>
          <w:rFonts w:cs="Times New Roman"/>
          <w:sz w:val="24"/>
          <w:szCs w:val="24"/>
        </w:rPr>
        <w:t xml:space="preserve">A public version of </w:t>
      </w:r>
      <w:proofErr w:type="spellStart"/>
      <w:r w:rsidR="00B549FD">
        <w:rPr>
          <w:rFonts w:cs="Times New Roman"/>
          <w:sz w:val="24"/>
          <w:szCs w:val="24"/>
        </w:rPr>
        <w:t>iMAP</w:t>
      </w:r>
      <w:proofErr w:type="spellEnd"/>
      <w:r w:rsidR="00B549FD">
        <w:rPr>
          <w:rFonts w:cs="Times New Roman"/>
          <w:sz w:val="24"/>
          <w:szCs w:val="24"/>
        </w:rPr>
        <w:t xml:space="preserve"> is currently in the design stages and is tentatively scheduled for release to the public in FY 2013.</w:t>
      </w:r>
    </w:p>
    <w:p w:rsidR="00555150" w:rsidRPr="000D3AA3" w:rsidRDefault="00555150" w:rsidP="009D7777">
      <w:pPr>
        <w:pStyle w:val="NoSpacing"/>
        <w:rPr>
          <w:rFonts w:cs="Times New Roman"/>
          <w:sz w:val="24"/>
          <w:szCs w:val="24"/>
        </w:rPr>
      </w:pPr>
    </w:p>
    <w:p w:rsidR="007424D8" w:rsidRPr="000D3AA3" w:rsidRDefault="007424D8" w:rsidP="009D7777">
      <w:pPr>
        <w:spacing w:after="0" w:line="240" w:lineRule="auto"/>
        <w:rPr>
          <w:rFonts w:cs="Times New Roman"/>
          <w:b/>
          <w:sz w:val="24"/>
          <w:szCs w:val="24"/>
        </w:rPr>
      </w:pPr>
      <w:r w:rsidRPr="000D3AA3">
        <w:rPr>
          <w:rFonts w:cs="Times New Roman"/>
          <w:b/>
          <w:sz w:val="24"/>
          <w:szCs w:val="24"/>
        </w:rPr>
        <w:t>Permitting-</w:t>
      </w:r>
      <w:r w:rsidR="003B373E">
        <w:rPr>
          <w:rFonts w:cs="Times New Roman"/>
          <w:b/>
          <w:sz w:val="24"/>
          <w:szCs w:val="24"/>
        </w:rPr>
        <w:t>R</w:t>
      </w:r>
      <w:r w:rsidRPr="000D3AA3">
        <w:rPr>
          <w:rFonts w:cs="Times New Roman"/>
          <w:b/>
          <w:sz w:val="24"/>
          <w:szCs w:val="24"/>
        </w:rPr>
        <w:t xml:space="preserve">elevant </w:t>
      </w:r>
      <w:r w:rsidR="003B373E">
        <w:rPr>
          <w:rFonts w:cs="Times New Roman"/>
          <w:b/>
          <w:sz w:val="24"/>
          <w:szCs w:val="24"/>
        </w:rPr>
        <w:t xml:space="preserve">EERE </w:t>
      </w:r>
      <w:r w:rsidRPr="000D3AA3">
        <w:rPr>
          <w:rFonts w:cs="Times New Roman"/>
          <w:b/>
          <w:sz w:val="24"/>
          <w:szCs w:val="24"/>
        </w:rPr>
        <w:t xml:space="preserve">Research and Development </w:t>
      </w:r>
      <w:r w:rsidR="003B373E">
        <w:rPr>
          <w:rFonts w:cs="Times New Roman"/>
          <w:b/>
          <w:sz w:val="24"/>
          <w:szCs w:val="24"/>
        </w:rPr>
        <w:t>Focused on</w:t>
      </w:r>
      <w:r w:rsidRPr="000D3AA3">
        <w:rPr>
          <w:rFonts w:cs="Times New Roman"/>
          <w:b/>
          <w:sz w:val="24"/>
          <w:szCs w:val="24"/>
        </w:rPr>
        <w:t xml:space="preserve"> Wind and Water Power </w:t>
      </w:r>
    </w:p>
    <w:p w:rsidR="007424D8" w:rsidRPr="000D3AA3" w:rsidRDefault="007424D8" w:rsidP="009D7777">
      <w:pPr>
        <w:pStyle w:val="NormalWeb"/>
        <w:numPr>
          <w:ilvl w:val="0"/>
          <w:numId w:val="6"/>
        </w:numPr>
        <w:spacing w:before="0" w:beforeAutospacing="0"/>
        <w:rPr>
          <w:rFonts w:asciiTheme="minorHAnsi" w:eastAsia="Times New Roman" w:hAnsiTheme="minorHAnsi"/>
        </w:rPr>
      </w:pPr>
      <w:r w:rsidRPr="000D3AA3">
        <w:rPr>
          <w:rFonts w:asciiTheme="minorHAnsi" w:hAnsiTheme="minorHAnsi"/>
          <w:u w:val="single"/>
        </w:rPr>
        <w:t>Bats and Wind Energy Cooperative, operational mitigation to reduce bat mortality</w:t>
      </w:r>
      <w:r w:rsidRPr="000D3AA3">
        <w:rPr>
          <w:rFonts w:asciiTheme="minorHAnsi" w:hAnsiTheme="minorHAnsi"/>
        </w:rPr>
        <w:t xml:space="preserve"> – </w:t>
      </w:r>
      <w:r w:rsidRPr="000D3AA3">
        <w:rPr>
          <w:rFonts w:asciiTheme="minorHAnsi" w:eastAsia="Times New Roman" w:hAnsiTheme="minorHAnsi"/>
        </w:rPr>
        <w:t xml:space="preserve">Bat fatalities at wind farms have become a critical obstacle to permitting of wind facilities in many parts of the country. DOE has worked with </w:t>
      </w:r>
      <w:r w:rsidR="00097CF1">
        <w:rPr>
          <w:rFonts w:asciiTheme="minorHAnsi" w:eastAsia="Times New Roman" w:hAnsiTheme="minorHAnsi"/>
        </w:rPr>
        <w:t xml:space="preserve">the </w:t>
      </w:r>
      <w:r w:rsidR="00097CF1" w:rsidRPr="000D3AA3">
        <w:rPr>
          <w:rFonts w:asciiTheme="minorHAnsi" w:eastAsia="Times New Roman" w:hAnsiTheme="minorHAnsi"/>
        </w:rPr>
        <w:t>N</w:t>
      </w:r>
      <w:r w:rsidR="00097CF1">
        <w:rPr>
          <w:rFonts w:asciiTheme="minorHAnsi" w:eastAsia="Times New Roman" w:hAnsiTheme="minorHAnsi"/>
        </w:rPr>
        <w:t xml:space="preserve">ational </w:t>
      </w:r>
      <w:r w:rsidR="00097CF1" w:rsidRPr="000D3AA3">
        <w:rPr>
          <w:rFonts w:asciiTheme="minorHAnsi" w:eastAsia="Times New Roman" w:hAnsiTheme="minorHAnsi"/>
        </w:rPr>
        <w:t>R</w:t>
      </w:r>
      <w:r w:rsidR="00097CF1">
        <w:rPr>
          <w:rFonts w:asciiTheme="minorHAnsi" w:eastAsia="Times New Roman" w:hAnsiTheme="minorHAnsi"/>
        </w:rPr>
        <w:t xml:space="preserve">enewable </w:t>
      </w:r>
      <w:r w:rsidR="00097CF1" w:rsidRPr="000D3AA3">
        <w:rPr>
          <w:rFonts w:asciiTheme="minorHAnsi" w:eastAsia="Times New Roman" w:hAnsiTheme="minorHAnsi"/>
        </w:rPr>
        <w:t>E</w:t>
      </w:r>
      <w:r w:rsidR="00097CF1">
        <w:rPr>
          <w:rFonts w:asciiTheme="minorHAnsi" w:eastAsia="Times New Roman" w:hAnsiTheme="minorHAnsi"/>
        </w:rPr>
        <w:t xml:space="preserve">nergy </w:t>
      </w:r>
      <w:r w:rsidR="00097CF1" w:rsidRPr="000D3AA3">
        <w:rPr>
          <w:rFonts w:asciiTheme="minorHAnsi" w:eastAsia="Times New Roman" w:hAnsiTheme="minorHAnsi"/>
        </w:rPr>
        <w:t>L</w:t>
      </w:r>
      <w:r w:rsidR="00097CF1">
        <w:rPr>
          <w:rFonts w:asciiTheme="minorHAnsi" w:eastAsia="Times New Roman" w:hAnsiTheme="minorHAnsi"/>
        </w:rPr>
        <w:t>aboratory (NREL)</w:t>
      </w:r>
      <w:r w:rsidRPr="000D3AA3">
        <w:rPr>
          <w:rFonts w:asciiTheme="minorHAnsi" w:eastAsia="Times New Roman" w:hAnsiTheme="minorHAnsi"/>
        </w:rPr>
        <w:t xml:space="preserve">, </w:t>
      </w:r>
      <w:r w:rsidR="00097CF1">
        <w:rPr>
          <w:rFonts w:asciiTheme="minorHAnsi" w:eastAsia="Times New Roman" w:hAnsiTheme="minorHAnsi"/>
        </w:rPr>
        <w:t>DOI</w:t>
      </w:r>
      <w:r w:rsidRPr="000D3AA3">
        <w:rPr>
          <w:rFonts w:asciiTheme="minorHAnsi" w:eastAsia="Times New Roman" w:hAnsiTheme="minorHAnsi"/>
        </w:rPr>
        <w:t>, Bat Conservation International, the American Wind Energy Association, wind turbine manufacturers, and wind farm developers and operators through an innovative partnership, the Bats and Wind Energy Cooperative (BWEC), to develop solutions. Through research at operating wind farms, the BWEC has identified high-impact mortality risk factors for bats, and developed operational mitigation options that can vastly decrease bat mortality at wind farms.</w:t>
      </w:r>
    </w:p>
    <w:p w:rsidR="007424D8" w:rsidRPr="000D3AA3" w:rsidRDefault="007424D8" w:rsidP="009D7777">
      <w:pPr>
        <w:pStyle w:val="NormalWeb"/>
        <w:ind w:left="720"/>
        <w:rPr>
          <w:rFonts w:asciiTheme="minorHAnsi" w:eastAsia="Times New Roman" w:hAnsiTheme="minorHAnsi"/>
        </w:rPr>
      </w:pPr>
      <w:r w:rsidRPr="000D3AA3">
        <w:rPr>
          <w:rFonts w:asciiTheme="minorHAnsi" w:eastAsia="Times New Roman" w:hAnsiTheme="minorHAnsi"/>
        </w:rPr>
        <w:t xml:space="preserve">Between 2009 and 2011, research at three separate wind farms has shown that increasing the cut-in speed of operating wind turbines to 5.0 – 6.5 m/s during times of peak activity reduced bat mortality 44-93% with less than 1% power generation losses. These findings allow for the integration of environmental considerations into the </w:t>
      </w:r>
      <w:proofErr w:type="spellStart"/>
      <w:r w:rsidRPr="000D3AA3">
        <w:rPr>
          <w:rFonts w:asciiTheme="minorHAnsi" w:eastAsia="Times New Roman" w:hAnsiTheme="minorHAnsi"/>
        </w:rPr>
        <w:t>siting</w:t>
      </w:r>
      <w:proofErr w:type="spellEnd"/>
      <w:r w:rsidRPr="000D3AA3">
        <w:rPr>
          <w:rFonts w:asciiTheme="minorHAnsi" w:eastAsia="Times New Roman" w:hAnsiTheme="minorHAnsi"/>
        </w:rPr>
        <w:t xml:space="preserve"> and operation of wind turbines, and the development of wind turbine technologies to facilitate efficient turbine operation during high-risk periods. Further, these findings reduce mortality risks in endangered bat species habitats with favorable wind resources, opening previously unavailable sites to well thought-out development. </w:t>
      </w:r>
    </w:p>
    <w:p w:rsidR="007424D8" w:rsidRPr="000D3AA3" w:rsidRDefault="007424D8" w:rsidP="009D7777">
      <w:pPr>
        <w:pStyle w:val="ListParagraph"/>
        <w:numPr>
          <w:ilvl w:val="0"/>
          <w:numId w:val="6"/>
        </w:numPr>
        <w:rPr>
          <w:rFonts w:asciiTheme="minorHAnsi" w:hAnsiTheme="minorHAnsi"/>
          <w:sz w:val="24"/>
          <w:szCs w:val="24"/>
        </w:rPr>
      </w:pPr>
      <w:r w:rsidRPr="000D3AA3">
        <w:rPr>
          <w:rFonts w:asciiTheme="minorHAnsi" w:hAnsiTheme="minorHAnsi"/>
          <w:sz w:val="24"/>
          <w:szCs w:val="24"/>
          <w:u w:val="single"/>
        </w:rPr>
        <w:t xml:space="preserve">Analysis of </w:t>
      </w:r>
      <w:proofErr w:type="spellStart"/>
      <w:r w:rsidRPr="000D3AA3">
        <w:rPr>
          <w:rFonts w:asciiTheme="minorHAnsi" w:hAnsiTheme="minorHAnsi"/>
          <w:sz w:val="24"/>
          <w:szCs w:val="24"/>
          <w:u w:val="single"/>
        </w:rPr>
        <w:t>siting</w:t>
      </w:r>
      <w:proofErr w:type="spellEnd"/>
      <w:r w:rsidRPr="000D3AA3">
        <w:rPr>
          <w:rFonts w:asciiTheme="minorHAnsi" w:hAnsiTheme="minorHAnsi"/>
          <w:sz w:val="24"/>
          <w:szCs w:val="24"/>
          <w:u w:val="single"/>
        </w:rPr>
        <w:t xml:space="preserve"> and permitting issue impacts on wind energy deployment</w:t>
      </w:r>
      <w:r w:rsidRPr="000D3AA3">
        <w:rPr>
          <w:rFonts w:asciiTheme="minorHAnsi" w:hAnsiTheme="minorHAnsi"/>
          <w:sz w:val="24"/>
          <w:szCs w:val="24"/>
        </w:rPr>
        <w:t xml:space="preserve"> – There are a number of critical barriers to </w:t>
      </w:r>
      <w:proofErr w:type="spellStart"/>
      <w:r w:rsidRPr="000D3AA3">
        <w:rPr>
          <w:rFonts w:asciiTheme="minorHAnsi" w:hAnsiTheme="minorHAnsi"/>
          <w:sz w:val="24"/>
          <w:szCs w:val="24"/>
        </w:rPr>
        <w:t>siting</w:t>
      </w:r>
      <w:proofErr w:type="spellEnd"/>
      <w:r w:rsidRPr="000D3AA3">
        <w:rPr>
          <w:rFonts w:asciiTheme="minorHAnsi" w:hAnsiTheme="minorHAnsi"/>
          <w:sz w:val="24"/>
          <w:szCs w:val="24"/>
        </w:rPr>
        <w:t xml:space="preserve"> and permitting wind energy development that have the potential to limit wind energy deployment potential if not addressed.   Still in </w:t>
      </w:r>
      <w:r w:rsidR="003063AF">
        <w:rPr>
          <w:rFonts w:asciiTheme="minorHAnsi" w:hAnsiTheme="minorHAnsi"/>
          <w:sz w:val="24"/>
          <w:szCs w:val="24"/>
        </w:rPr>
        <w:t>the</w:t>
      </w:r>
      <w:r w:rsidR="003063AF" w:rsidRPr="000D3AA3">
        <w:rPr>
          <w:rFonts w:asciiTheme="minorHAnsi" w:hAnsiTheme="minorHAnsi"/>
          <w:sz w:val="24"/>
          <w:szCs w:val="24"/>
        </w:rPr>
        <w:t xml:space="preserve"> </w:t>
      </w:r>
      <w:r w:rsidRPr="000D3AA3">
        <w:rPr>
          <w:rFonts w:asciiTheme="minorHAnsi" w:hAnsiTheme="minorHAnsi"/>
          <w:sz w:val="24"/>
          <w:szCs w:val="24"/>
        </w:rPr>
        <w:t xml:space="preserve">draft/research phase, NREL is developing a </w:t>
      </w:r>
      <w:proofErr w:type="spellStart"/>
      <w:r w:rsidRPr="000D3AA3">
        <w:rPr>
          <w:rFonts w:asciiTheme="minorHAnsi" w:hAnsiTheme="minorHAnsi"/>
          <w:sz w:val="24"/>
          <w:szCs w:val="24"/>
        </w:rPr>
        <w:t>siting</w:t>
      </w:r>
      <w:proofErr w:type="spellEnd"/>
      <w:r w:rsidRPr="000D3AA3">
        <w:rPr>
          <w:rFonts w:asciiTheme="minorHAnsi" w:hAnsiTheme="minorHAnsi"/>
          <w:sz w:val="24"/>
          <w:szCs w:val="24"/>
        </w:rPr>
        <w:t xml:space="preserve"> and permitting impacts analysis tool for evaluating the extent to which radar, wildlife, public acceptance, and transmission variables may impact the geographical distribution of land available for wind </w:t>
      </w:r>
      <w:proofErr w:type="spellStart"/>
      <w:r w:rsidRPr="000D3AA3">
        <w:rPr>
          <w:rFonts w:asciiTheme="minorHAnsi" w:hAnsiTheme="minorHAnsi"/>
          <w:sz w:val="24"/>
          <w:szCs w:val="24"/>
        </w:rPr>
        <w:t>siting</w:t>
      </w:r>
      <w:proofErr w:type="spellEnd"/>
      <w:r w:rsidRPr="000D3AA3">
        <w:rPr>
          <w:rFonts w:asciiTheme="minorHAnsi" w:hAnsiTheme="minorHAnsi"/>
          <w:sz w:val="24"/>
          <w:szCs w:val="24"/>
        </w:rPr>
        <w:t xml:space="preserve">. NREL is working with wind developers, regulatory agencies, and NGOs in an effort to gather, combine and synthesize data.    </w:t>
      </w:r>
    </w:p>
    <w:p w:rsidR="007424D8" w:rsidRPr="000D3AA3" w:rsidRDefault="007424D8" w:rsidP="009D7777">
      <w:pPr>
        <w:pStyle w:val="ListParagraph"/>
        <w:rPr>
          <w:rFonts w:asciiTheme="minorHAnsi" w:hAnsiTheme="minorHAnsi"/>
          <w:sz w:val="24"/>
          <w:szCs w:val="24"/>
        </w:rPr>
      </w:pPr>
    </w:p>
    <w:p w:rsidR="007424D8" w:rsidRPr="000D3AA3" w:rsidRDefault="007424D8" w:rsidP="009D7777">
      <w:pPr>
        <w:pStyle w:val="ListParagraph"/>
        <w:numPr>
          <w:ilvl w:val="0"/>
          <w:numId w:val="6"/>
        </w:numPr>
        <w:rPr>
          <w:rFonts w:asciiTheme="minorHAnsi" w:hAnsiTheme="minorHAnsi"/>
          <w:sz w:val="24"/>
          <w:szCs w:val="24"/>
        </w:rPr>
      </w:pPr>
      <w:r w:rsidRPr="000D3AA3">
        <w:rPr>
          <w:rFonts w:asciiTheme="minorHAnsi" w:hAnsiTheme="minorHAnsi"/>
          <w:sz w:val="24"/>
          <w:szCs w:val="24"/>
          <w:u w:val="single"/>
        </w:rPr>
        <w:t xml:space="preserve">Impacts of wind on candidate prairie grouse species (Greater Sage-Grouse, </w:t>
      </w:r>
      <w:r w:rsidR="003063AF">
        <w:rPr>
          <w:rFonts w:asciiTheme="minorHAnsi" w:hAnsiTheme="minorHAnsi"/>
          <w:sz w:val="24"/>
          <w:szCs w:val="24"/>
          <w:u w:val="single"/>
        </w:rPr>
        <w:t xml:space="preserve">Greater </w:t>
      </w:r>
      <w:r w:rsidRPr="000D3AA3">
        <w:rPr>
          <w:rFonts w:asciiTheme="minorHAnsi" w:hAnsiTheme="minorHAnsi"/>
          <w:sz w:val="24"/>
          <w:szCs w:val="24"/>
          <w:u w:val="single"/>
        </w:rPr>
        <w:t xml:space="preserve">Prairie Chicken) </w:t>
      </w:r>
      <w:r w:rsidRPr="000D3AA3">
        <w:rPr>
          <w:rFonts w:asciiTheme="minorHAnsi" w:hAnsiTheme="minorHAnsi"/>
          <w:sz w:val="24"/>
          <w:szCs w:val="24"/>
        </w:rPr>
        <w:t xml:space="preserve">– In addition to the implications that </w:t>
      </w:r>
      <w:r w:rsidR="001075EE">
        <w:rPr>
          <w:rFonts w:asciiTheme="minorHAnsi" w:hAnsiTheme="minorHAnsi"/>
          <w:sz w:val="24"/>
          <w:szCs w:val="24"/>
        </w:rPr>
        <w:t>sensitive</w:t>
      </w:r>
      <w:r w:rsidRPr="000D3AA3">
        <w:rPr>
          <w:rFonts w:asciiTheme="minorHAnsi" w:hAnsiTheme="minorHAnsi"/>
          <w:sz w:val="24"/>
          <w:szCs w:val="24"/>
        </w:rPr>
        <w:t xml:space="preserve"> species have on </w:t>
      </w:r>
      <w:proofErr w:type="spellStart"/>
      <w:r w:rsidRPr="000D3AA3">
        <w:rPr>
          <w:rFonts w:asciiTheme="minorHAnsi" w:hAnsiTheme="minorHAnsi"/>
          <w:sz w:val="24"/>
          <w:szCs w:val="24"/>
        </w:rPr>
        <w:t>siting</w:t>
      </w:r>
      <w:proofErr w:type="spellEnd"/>
      <w:r w:rsidRPr="000D3AA3">
        <w:rPr>
          <w:rFonts w:asciiTheme="minorHAnsi" w:hAnsiTheme="minorHAnsi"/>
          <w:sz w:val="24"/>
          <w:szCs w:val="24"/>
        </w:rPr>
        <w:t xml:space="preserve"> of renewable energy projects, research from the oil and gas industry has shown the </w:t>
      </w:r>
      <w:r w:rsidR="003063AF">
        <w:rPr>
          <w:rFonts w:asciiTheme="minorHAnsi" w:hAnsiTheme="minorHAnsi"/>
          <w:sz w:val="24"/>
          <w:szCs w:val="24"/>
        </w:rPr>
        <w:t>potential impacts</w:t>
      </w:r>
      <w:r w:rsidR="003063AF" w:rsidRPr="000D3AA3">
        <w:rPr>
          <w:rFonts w:asciiTheme="minorHAnsi" w:hAnsiTheme="minorHAnsi"/>
          <w:sz w:val="24"/>
          <w:szCs w:val="24"/>
        </w:rPr>
        <w:t xml:space="preserve"> </w:t>
      </w:r>
      <w:r w:rsidRPr="000D3AA3">
        <w:rPr>
          <w:rFonts w:asciiTheme="minorHAnsi" w:hAnsiTheme="minorHAnsi"/>
          <w:sz w:val="24"/>
          <w:szCs w:val="24"/>
        </w:rPr>
        <w:t xml:space="preserve">of human activities on various species including Greater Sage-Grouse and Greater Prairie Chicken. Few data exist on the impacts of wind energy on these key </w:t>
      </w:r>
      <w:r w:rsidRPr="000D3AA3">
        <w:rPr>
          <w:rFonts w:asciiTheme="minorHAnsi" w:hAnsiTheme="minorHAnsi"/>
          <w:sz w:val="24"/>
          <w:szCs w:val="24"/>
        </w:rPr>
        <w:lastRenderedPageBreak/>
        <w:t>species of concern, so management regimes</w:t>
      </w:r>
      <w:r w:rsidR="003063AF">
        <w:rPr>
          <w:rFonts w:asciiTheme="minorHAnsi" w:hAnsiTheme="minorHAnsi"/>
          <w:sz w:val="24"/>
          <w:szCs w:val="24"/>
        </w:rPr>
        <w:t xml:space="preserve"> for the wind industry</w:t>
      </w:r>
      <w:r w:rsidRPr="000D3AA3">
        <w:rPr>
          <w:rFonts w:asciiTheme="minorHAnsi" w:hAnsiTheme="minorHAnsi"/>
          <w:sz w:val="24"/>
          <w:szCs w:val="24"/>
        </w:rPr>
        <w:t xml:space="preserve"> have relied heavily on data derived from monitoring oil and gas projects.</w:t>
      </w:r>
    </w:p>
    <w:p w:rsidR="007424D8" w:rsidRPr="000D3AA3" w:rsidRDefault="007424D8" w:rsidP="009D7777">
      <w:pPr>
        <w:pStyle w:val="ListParagraph"/>
        <w:rPr>
          <w:rFonts w:asciiTheme="minorHAnsi" w:hAnsiTheme="minorHAnsi"/>
          <w:sz w:val="24"/>
          <w:szCs w:val="24"/>
        </w:rPr>
      </w:pPr>
    </w:p>
    <w:p w:rsidR="007424D8" w:rsidRPr="000D3AA3" w:rsidRDefault="007424D8" w:rsidP="009D7777">
      <w:pPr>
        <w:pStyle w:val="ListParagraph"/>
        <w:rPr>
          <w:rFonts w:asciiTheme="minorHAnsi" w:hAnsiTheme="minorHAnsi"/>
          <w:sz w:val="24"/>
          <w:szCs w:val="24"/>
        </w:rPr>
      </w:pPr>
      <w:r w:rsidRPr="000D3AA3">
        <w:rPr>
          <w:rFonts w:asciiTheme="minorHAnsi" w:hAnsiTheme="minorHAnsi"/>
          <w:sz w:val="24"/>
          <w:szCs w:val="24"/>
        </w:rPr>
        <w:t xml:space="preserve">To solve this problem, DOE, BLM, FWS, wildlife agencies from several western states, and the wind industry came together to form the Sage-Grouse Research Collaborative to pool resources to perform research to determine the actual impact of wind power on </w:t>
      </w:r>
      <w:r w:rsidR="003063AF">
        <w:rPr>
          <w:rFonts w:asciiTheme="minorHAnsi" w:hAnsiTheme="minorHAnsi"/>
          <w:sz w:val="24"/>
          <w:szCs w:val="24"/>
        </w:rPr>
        <w:t xml:space="preserve">Greater </w:t>
      </w:r>
      <w:r w:rsidRPr="000D3AA3">
        <w:rPr>
          <w:rFonts w:asciiTheme="minorHAnsi" w:hAnsiTheme="minorHAnsi"/>
          <w:sz w:val="24"/>
          <w:szCs w:val="24"/>
        </w:rPr>
        <w:t xml:space="preserve">Sage Grouse. Additionally, the NWCC’s Grassland and Shrub Steppe Species Collaborative (comprised of representatives from state and federal agencies, academic institutions, non-governmental organizations, and the wind industry is </w:t>
      </w:r>
      <w:r w:rsidR="003063AF">
        <w:rPr>
          <w:rFonts w:asciiTheme="minorHAnsi" w:hAnsiTheme="minorHAnsi"/>
          <w:sz w:val="24"/>
          <w:szCs w:val="24"/>
        </w:rPr>
        <w:t>concluding</w:t>
      </w:r>
      <w:r w:rsidR="003063AF" w:rsidRPr="000D3AA3">
        <w:rPr>
          <w:rFonts w:asciiTheme="minorHAnsi" w:hAnsiTheme="minorHAnsi"/>
          <w:sz w:val="24"/>
          <w:szCs w:val="24"/>
        </w:rPr>
        <w:t xml:space="preserve"> </w:t>
      </w:r>
      <w:r w:rsidRPr="000D3AA3">
        <w:rPr>
          <w:rFonts w:asciiTheme="minorHAnsi" w:hAnsiTheme="minorHAnsi"/>
          <w:sz w:val="24"/>
          <w:szCs w:val="24"/>
        </w:rPr>
        <w:t xml:space="preserve"> a pioneering 6-year research study assessing the impact of wind </w:t>
      </w:r>
      <w:r w:rsidR="003063AF">
        <w:rPr>
          <w:rFonts w:asciiTheme="minorHAnsi" w:hAnsiTheme="minorHAnsi"/>
          <w:sz w:val="24"/>
          <w:szCs w:val="24"/>
        </w:rPr>
        <w:t xml:space="preserve">power projects </w:t>
      </w:r>
      <w:r w:rsidRPr="000D3AA3">
        <w:rPr>
          <w:rFonts w:asciiTheme="minorHAnsi" w:hAnsiTheme="minorHAnsi"/>
          <w:sz w:val="24"/>
          <w:szCs w:val="24"/>
        </w:rPr>
        <w:t xml:space="preserve">on the Greater Prairie Chicken.  The efforts of both </w:t>
      </w:r>
      <w:proofErr w:type="spellStart"/>
      <w:r w:rsidRPr="000D3AA3">
        <w:rPr>
          <w:rFonts w:asciiTheme="minorHAnsi" w:hAnsiTheme="minorHAnsi"/>
          <w:sz w:val="24"/>
          <w:szCs w:val="24"/>
        </w:rPr>
        <w:t>Collaboratives</w:t>
      </w:r>
      <w:proofErr w:type="spellEnd"/>
      <w:r w:rsidRPr="000D3AA3">
        <w:rPr>
          <w:rFonts w:asciiTheme="minorHAnsi" w:hAnsiTheme="minorHAnsi"/>
          <w:sz w:val="24"/>
          <w:szCs w:val="24"/>
        </w:rPr>
        <w:t xml:space="preserve"> will provide permitting agencies with actual data regarding impact of wind on these species, providing a sound basis on which to base decisions.</w:t>
      </w:r>
    </w:p>
    <w:p w:rsidR="007424D8" w:rsidRPr="000D3AA3" w:rsidRDefault="007424D8" w:rsidP="009D7777">
      <w:pPr>
        <w:pStyle w:val="ListParagraph"/>
        <w:rPr>
          <w:rFonts w:asciiTheme="minorHAnsi" w:hAnsiTheme="minorHAnsi"/>
          <w:sz w:val="24"/>
          <w:szCs w:val="24"/>
        </w:rPr>
      </w:pPr>
    </w:p>
    <w:p w:rsidR="007424D8" w:rsidRPr="000D3AA3" w:rsidRDefault="007424D8" w:rsidP="009D7777">
      <w:pPr>
        <w:pStyle w:val="ListParagraph"/>
        <w:numPr>
          <w:ilvl w:val="0"/>
          <w:numId w:val="25"/>
        </w:numPr>
        <w:spacing w:before="0" w:after="200"/>
        <w:rPr>
          <w:rFonts w:asciiTheme="minorHAnsi" w:hAnsiTheme="minorHAnsi"/>
          <w:color w:val="000000" w:themeColor="text1"/>
          <w:sz w:val="24"/>
          <w:szCs w:val="24"/>
        </w:rPr>
      </w:pPr>
      <w:r w:rsidRPr="000D3AA3">
        <w:rPr>
          <w:rFonts w:asciiTheme="minorHAnsi" w:hAnsiTheme="minorHAnsi"/>
          <w:color w:val="000000" w:themeColor="text1"/>
          <w:sz w:val="24"/>
          <w:szCs w:val="24"/>
          <w:u w:val="single"/>
        </w:rPr>
        <w:t xml:space="preserve">DOE, BOEMRE, and NOAA Broad Agency Announcement on Environmental Research for Ocean Renewable </w:t>
      </w:r>
      <w:r w:rsidR="00020DCD">
        <w:rPr>
          <w:rFonts w:asciiTheme="minorHAnsi" w:hAnsiTheme="minorHAnsi"/>
          <w:color w:val="000000" w:themeColor="text1"/>
          <w:sz w:val="24"/>
          <w:szCs w:val="24"/>
          <w:u w:val="single"/>
        </w:rPr>
        <w:t xml:space="preserve">Energy </w:t>
      </w:r>
      <w:r w:rsidR="00550625" w:rsidRPr="00550625">
        <w:rPr>
          <w:rFonts w:asciiTheme="minorHAnsi" w:hAnsiTheme="minorHAnsi"/>
          <w:color w:val="000000" w:themeColor="text1"/>
          <w:sz w:val="24"/>
          <w:szCs w:val="24"/>
        </w:rPr>
        <w:t>– I</w:t>
      </w:r>
      <w:r w:rsidR="00020DCD">
        <w:rPr>
          <w:rFonts w:asciiTheme="minorHAnsi" w:eastAsia="Times New Roman" w:hAnsiTheme="minorHAnsi"/>
          <w:color w:val="000000" w:themeColor="text1"/>
          <w:sz w:val="24"/>
          <w:szCs w:val="24"/>
        </w:rPr>
        <w:t>n 2010</w:t>
      </w:r>
      <w:r w:rsidRPr="000D3AA3">
        <w:rPr>
          <w:rFonts w:asciiTheme="minorHAnsi" w:eastAsia="Times New Roman" w:hAnsiTheme="minorHAnsi"/>
          <w:color w:val="000000" w:themeColor="text1"/>
          <w:sz w:val="24"/>
          <w:szCs w:val="24"/>
        </w:rPr>
        <w:t xml:space="preserve">, DOE, BOEMRE, </w:t>
      </w:r>
      <w:r w:rsidR="002E7DBE">
        <w:rPr>
          <w:rFonts w:asciiTheme="minorHAnsi" w:eastAsia="Times New Roman" w:hAnsiTheme="minorHAnsi"/>
          <w:color w:val="000000" w:themeColor="text1"/>
          <w:sz w:val="24"/>
          <w:szCs w:val="24"/>
        </w:rPr>
        <w:t xml:space="preserve">and </w:t>
      </w:r>
      <w:r w:rsidRPr="000D3AA3">
        <w:rPr>
          <w:rFonts w:asciiTheme="minorHAnsi" w:eastAsia="Times New Roman" w:hAnsiTheme="minorHAnsi"/>
          <w:color w:val="000000" w:themeColor="text1"/>
          <w:sz w:val="24"/>
          <w:szCs w:val="24"/>
        </w:rPr>
        <w:t>NOAA support</w:t>
      </w:r>
      <w:r w:rsidR="003B373E">
        <w:rPr>
          <w:rFonts w:asciiTheme="minorHAnsi" w:eastAsia="Times New Roman" w:hAnsiTheme="minorHAnsi"/>
          <w:color w:val="000000" w:themeColor="text1"/>
          <w:sz w:val="24"/>
          <w:szCs w:val="24"/>
        </w:rPr>
        <w:t>ed research projects focused on</w:t>
      </w:r>
      <w:r w:rsidRPr="000D3AA3">
        <w:rPr>
          <w:rFonts w:asciiTheme="minorHAnsi" w:eastAsia="Times New Roman" w:hAnsiTheme="minorHAnsi"/>
          <w:color w:val="000000" w:themeColor="text1"/>
          <w:sz w:val="24"/>
          <w:szCs w:val="24"/>
        </w:rPr>
        <w:t xml:space="preserve"> the responsible </w:t>
      </w:r>
      <w:proofErr w:type="spellStart"/>
      <w:r w:rsidRPr="000D3AA3">
        <w:rPr>
          <w:rFonts w:asciiTheme="minorHAnsi" w:eastAsia="Times New Roman" w:hAnsiTheme="minorHAnsi"/>
          <w:color w:val="000000" w:themeColor="text1"/>
          <w:sz w:val="24"/>
          <w:szCs w:val="24"/>
        </w:rPr>
        <w:t>siting</w:t>
      </w:r>
      <w:proofErr w:type="spellEnd"/>
      <w:r w:rsidRPr="000D3AA3">
        <w:rPr>
          <w:rFonts w:asciiTheme="minorHAnsi" w:eastAsia="Times New Roman" w:hAnsiTheme="minorHAnsi"/>
          <w:color w:val="000000" w:themeColor="text1"/>
          <w:sz w:val="24"/>
          <w:szCs w:val="24"/>
        </w:rPr>
        <w:t xml:space="preserve"> and permitting of offshore wind energy facilities and ocean energy generated from waves, tides, currents, and thermal gradients. This critical research aims to address key information gaps regarding the potential environmental effects of renewable ocean energy.   Projects are underway and the agencies, led by BOEM</w:t>
      </w:r>
      <w:r w:rsidR="003063AF">
        <w:rPr>
          <w:rFonts w:asciiTheme="minorHAnsi" w:eastAsia="Times New Roman" w:hAnsiTheme="minorHAnsi"/>
          <w:color w:val="000000" w:themeColor="text1"/>
          <w:sz w:val="24"/>
          <w:szCs w:val="24"/>
        </w:rPr>
        <w:t>RE</w:t>
      </w:r>
      <w:r w:rsidRPr="000D3AA3">
        <w:rPr>
          <w:rFonts w:asciiTheme="minorHAnsi" w:eastAsia="Times New Roman" w:hAnsiTheme="minorHAnsi"/>
          <w:color w:val="000000" w:themeColor="text1"/>
          <w:sz w:val="24"/>
          <w:szCs w:val="24"/>
        </w:rPr>
        <w:t xml:space="preserve">, are working to jointly manage these projects.   </w:t>
      </w:r>
    </w:p>
    <w:p w:rsidR="009D7777" w:rsidRPr="000D3AA3" w:rsidRDefault="009D7777" w:rsidP="009D7777">
      <w:pPr>
        <w:pStyle w:val="ListParagraph"/>
        <w:spacing w:before="0" w:after="200"/>
        <w:rPr>
          <w:rFonts w:asciiTheme="minorHAnsi" w:hAnsiTheme="minorHAnsi"/>
          <w:color w:val="000000" w:themeColor="text1"/>
          <w:sz w:val="24"/>
          <w:szCs w:val="24"/>
        </w:rPr>
      </w:pPr>
    </w:p>
    <w:p w:rsidR="007424D8" w:rsidRPr="000D3AA3" w:rsidRDefault="007424D8" w:rsidP="009D7777">
      <w:pPr>
        <w:pStyle w:val="ListParagraph"/>
        <w:numPr>
          <w:ilvl w:val="0"/>
          <w:numId w:val="25"/>
        </w:numPr>
        <w:spacing w:before="0" w:after="200"/>
        <w:rPr>
          <w:rFonts w:asciiTheme="minorHAnsi" w:hAnsiTheme="minorHAnsi"/>
          <w:sz w:val="24"/>
          <w:szCs w:val="24"/>
        </w:rPr>
      </w:pPr>
      <w:r w:rsidRPr="000D3AA3">
        <w:rPr>
          <w:rFonts w:asciiTheme="minorHAnsi" w:hAnsiTheme="minorHAnsi"/>
          <w:color w:val="000000" w:themeColor="text1"/>
          <w:sz w:val="24"/>
          <w:szCs w:val="24"/>
          <w:u w:val="single"/>
        </w:rPr>
        <w:t>Tethys</w:t>
      </w:r>
      <w:r w:rsidR="001652B4" w:rsidRPr="001652B4">
        <w:rPr>
          <w:rFonts w:asciiTheme="minorHAnsi" w:hAnsiTheme="minorHAnsi"/>
          <w:color w:val="000000" w:themeColor="text1"/>
          <w:sz w:val="24"/>
          <w:szCs w:val="24"/>
        </w:rPr>
        <w:t xml:space="preserve"> </w:t>
      </w:r>
      <w:r w:rsidR="0020363C">
        <w:rPr>
          <w:rFonts w:asciiTheme="minorHAnsi" w:hAnsiTheme="minorHAnsi"/>
          <w:color w:val="000000" w:themeColor="text1"/>
          <w:sz w:val="24"/>
          <w:szCs w:val="24"/>
        </w:rPr>
        <w:t>–</w:t>
      </w:r>
      <w:r w:rsidR="001652B4" w:rsidRPr="001652B4">
        <w:rPr>
          <w:rFonts w:asciiTheme="minorHAnsi" w:hAnsiTheme="minorHAnsi"/>
          <w:color w:val="000000" w:themeColor="text1"/>
          <w:sz w:val="24"/>
          <w:szCs w:val="24"/>
        </w:rPr>
        <w:t xml:space="preserve"> DOE’s</w:t>
      </w:r>
      <w:r w:rsidRPr="0020363C">
        <w:rPr>
          <w:rFonts w:asciiTheme="minorHAnsi" w:hAnsiTheme="minorHAnsi"/>
          <w:sz w:val="24"/>
          <w:szCs w:val="24"/>
        </w:rPr>
        <w:t xml:space="preserve"> </w:t>
      </w:r>
      <w:r w:rsidRPr="000D3AA3">
        <w:rPr>
          <w:rFonts w:asciiTheme="minorHAnsi" w:hAnsiTheme="minorHAnsi"/>
          <w:sz w:val="24"/>
          <w:szCs w:val="24"/>
        </w:rPr>
        <w:t xml:space="preserve">Pacific Northwest National Laboratory (PNNL) is working to develop Tethys, a “smart database”, to house data on the environmental impacts of marine and hydrokinetic and offshore wind technologies.  The primary goal of Tethys is to organize the data so that users can easily classify and evaluate the environmental effects of ocean energy development.  The database will allow users to easily search for environmental data associated with specific sites, technologies, and potential environmental impacts.  Tethys is unique in that it will evolve as stakeholder input is incorporated to ensure information accuracy, and to address the changing needs of users as industry advances and more data becomes available.  Ultimately, Tethys will be the most up-to-date, comprehensive reference source for ocean energy environmental effects data.  </w:t>
      </w:r>
    </w:p>
    <w:p w:rsidR="004D2CF2" w:rsidRPr="00194483" w:rsidRDefault="004D2CF2" w:rsidP="009D7777">
      <w:pPr>
        <w:spacing w:after="0" w:line="240" w:lineRule="auto"/>
        <w:ind w:left="720"/>
        <w:contextualSpacing/>
        <w:rPr>
          <w:sz w:val="24"/>
          <w:szCs w:val="24"/>
        </w:rPr>
      </w:pPr>
    </w:p>
    <w:p w:rsidR="00550625" w:rsidRDefault="00020DCD" w:rsidP="00550625">
      <w:pPr>
        <w:autoSpaceDE w:val="0"/>
        <w:autoSpaceDN w:val="0"/>
        <w:spacing w:after="0" w:line="240" w:lineRule="auto"/>
        <w:rPr>
          <w:b/>
          <w:sz w:val="24"/>
          <w:szCs w:val="24"/>
        </w:rPr>
      </w:pPr>
      <w:r w:rsidRPr="00020DCD">
        <w:rPr>
          <w:rFonts w:cs="Times New Roman"/>
          <w:b/>
          <w:sz w:val="24"/>
          <w:szCs w:val="24"/>
        </w:rPr>
        <w:t>Existing or planned data portals, tools, and datasets that can be accessed by developers and decision makers as they site offshore wind, land-based wind, marine and hydrokinetic (MHK),</w:t>
      </w:r>
      <w:r w:rsidR="00B86C3A" w:rsidRPr="00B86C3A">
        <w:rPr>
          <w:rFonts w:cs="Times New Roman"/>
          <w:b/>
          <w:sz w:val="24"/>
          <w:szCs w:val="24"/>
        </w:rPr>
        <w:t xml:space="preserve"> geothermal, solar and biomass energy projects.  Included are:</w:t>
      </w:r>
    </w:p>
    <w:p w:rsidR="00550625" w:rsidRDefault="00550625" w:rsidP="00550625">
      <w:pPr>
        <w:pStyle w:val="ListParagraph"/>
        <w:numPr>
          <w:ilvl w:val="0"/>
          <w:numId w:val="25"/>
        </w:numPr>
        <w:spacing w:before="0" w:after="200"/>
        <w:rPr>
          <w:rFonts w:asciiTheme="minorHAnsi" w:hAnsiTheme="minorHAnsi"/>
          <w:sz w:val="24"/>
          <w:szCs w:val="24"/>
        </w:rPr>
      </w:pPr>
      <w:r w:rsidRPr="00550625">
        <w:rPr>
          <w:rFonts w:asciiTheme="minorHAnsi" w:hAnsiTheme="minorHAnsi"/>
          <w:sz w:val="24"/>
          <w:szCs w:val="24"/>
          <w:u w:val="single"/>
        </w:rPr>
        <w:t xml:space="preserve">DOE </w:t>
      </w:r>
      <w:proofErr w:type="spellStart"/>
      <w:r w:rsidRPr="00550625">
        <w:rPr>
          <w:rFonts w:asciiTheme="minorHAnsi" w:hAnsiTheme="minorHAnsi"/>
          <w:sz w:val="24"/>
          <w:szCs w:val="24"/>
          <w:u w:val="single"/>
        </w:rPr>
        <w:t>Siting</w:t>
      </w:r>
      <w:proofErr w:type="spellEnd"/>
      <w:r w:rsidRPr="00550625">
        <w:rPr>
          <w:rFonts w:asciiTheme="minorHAnsi" w:hAnsiTheme="minorHAnsi"/>
          <w:sz w:val="24"/>
          <w:szCs w:val="24"/>
          <w:u w:val="single"/>
        </w:rPr>
        <w:t xml:space="preserve"> Resources: Portals</w:t>
      </w:r>
      <w:r w:rsidR="00334ABF" w:rsidRPr="00194483">
        <w:rPr>
          <w:rFonts w:asciiTheme="minorHAnsi" w:hAnsiTheme="minorHAnsi"/>
          <w:sz w:val="24"/>
          <w:szCs w:val="24"/>
        </w:rPr>
        <w:t xml:space="preserve">—EERE’s Wind and Water Power Program is developing a knowledge management system through PNNL that, when completed, will aggregate, synthesize, and disseminate environmental data on the environmental impacts of offshore wind and MHK technologies. </w:t>
      </w:r>
    </w:p>
    <w:p w:rsidR="00550625" w:rsidRDefault="00550625" w:rsidP="00550625">
      <w:pPr>
        <w:pStyle w:val="ListParagraph"/>
        <w:spacing w:before="0" w:after="200"/>
        <w:rPr>
          <w:rFonts w:asciiTheme="minorHAnsi" w:hAnsiTheme="minorHAnsi"/>
          <w:sz w:val="24"/>
          <w:szCs w:val="24"/>
        </w:rPr>
      </w:pPr>
    </w:p>
    <w:p w:rsidR="00550625" w:rsidRDefault="00550625" w:rsidP="00550625">
      <w:pPr>
        <w:pStyle w:val="ListParagraph"/>
        <w:numPr>
          <w:ilvl w:val="0"/>
          <w:numId w:val="25"/>
        </w:numPr>
        <w:spacing w:before="0" w:after="200"/>
        <w:rPr>
          <w:rFonts w:asciiTheme="minorHAnsi" w:hAnsiTheme="minorHAnsi"/>
          <w:sz w:val="24"/>
          <w:szCs w:val="24"/>
        </w:rPr>
      </w:pPr>
      <w:r w:rsidRPr="00550625">
        <w:rPr>
          <w:rFonts w:asciiTheme="minorHAnsi" w:hAnsiTheme="minorHAnsi"/>
          <w:sz w:val="24"/>
          <w:szCs w:val="24"/>
          <w:u w:val="single"/>
        </w:rPr>
        <w:lastRenderedPageBreak/>
        <w:t>Tools</w:t>
      </w:r>
      <w:r w:rsidR="00F27725">
        <w:rPr>
          <w:rFonts w:asciiTheme="minorHAnsi" w:hAnsiTheme="minorHAnsi"/>
          <w:sz w:val="24"/>
          <w:szCs w:val="24"/>
        </w:rPr>
        <w:t xml:space="preserve"> – </w:t>
      </w:r>
      <w:r w:rsidR="00334ABF" w:rsidRPr="00194483">
        <w:rPr>
          <w:rFonts w:asciiTheme="minorHAnsi" w:hAnsiTheme="minorHAnsi"/>
          <w:sz w:val="24"/>
          <w:szCs w:val="24"/>
        </w:rPr>
        <w:t xml:space="preserve">Through a joint Broad Agency Announcement with NOAA and </w:t>
      </w:r>
      <w:r w:rsidR="00370398">
        <w:rPr>
          <w:rFonts w:asciiTheme="minorHAnsi" w:hAnsiTheme="minorHAnsi"/>
          <w:sz w:val="24"/>
          <w:szCs w:val="24"/>
        </w:rPr>
        <w:t>BOEMRE</w:t>
      </w:r>
      <w:r w:rsidR="00334ABF" w:rsidRPr="00194483">
        <w:rPr>
          <w:rFonts w:asciiTheme="minorHAnsi" w:hAnsiTheme="minorHAnsi"/>
          <w:sz w:val="24"/>
          <w:szCs w:val="24"/>
        </w:rPr>
        <w:t>, EERE’s Wind and Water Power Program funded the development of standardized environmental monitoring protocols, tools for assessing visual impacts of offshore renewable energy projects, and decision analysis methods for coastal and marine spatial planning for offshore renewable energy. The Wind and Water Power Program has also funded the development of monitoring and mitigation measures that are now in use at wind projects, and a Landscape Assessment Tool run by The Nature Conservancy and the American Wind Wildlife Institute that provides project proponents and stakeholders the ability to do quick, high-level assessments of the potential wildlife issues faced by their projects.</w:t>
      </w:r>
    </w:p>
    <w:p w:rsidR="00550625" w:rsidRDefault="00550625" w:rsidP="00550625">
      <w:pPr>
        <w:pStyle w:val="ListParagraph"/>
        <w:spacing w:before="0" w:after="200"/>
        <w:rPr>
          <w:rFonts w:asciiTheme="minorHAnsi" w:hAnsiTheme="minorHAnsi"/>
          <w:sz w:val="24"/>
          <w:szCs w:val="24"/>
        </w:rPr>
      </w:pPr>
    </w:p>
    <w:p w:rsidR="00550625" w:rsidRPr="00550625" w:rsidRDefault="00550625" w:rsidP="00550625">
      <w:pPr>
        <w:pStyle w:val="ListParagraph"/>
        <w:numPr>
          <w:ilvl w:val="0"/>
          <w:numId w:val="25"/>
        </w:numPr>
        <w:spacing w:before="0" w:after="200"/>
        <w:rPr>
          <w:rFonts w:asciiTheme="minorHAnsi" w:hAnsiTheme="minorHAnsi"/>
          <w:b/>
          <w:sz w:val="24"/>
          <w:szCs w:val="24"/>
        </w:rPr>
      </w:pPr>
      <w:r w:rsidRPr="00550625">
        <w:rPr>
          <w:sz w:val="24"/>
          <w:szCs w:val="24"/>
          <w:u w:val="single"/>
        </w:rPr>
        <w:t>Datasets</w:t>
      </w:r>
      <w:r w:rsidR="00334ABF" w:rsidRPr="00194483">
        <w:rPr>
          <w:rFonts w:asciiTheme="minorHAnsi" w:hAnsiTheme="minorHAnsi"/>
          <w:sz w:val="24"/>
          <w:szCs w:val="24"/>
        </w:rPr>
        <w:t xml:space="preserve">—Resource assessments are a key DOE data contribution for planning and </w:t>
      </w:r>
      <w:proofErr w:type="spellStart"/>
      <w:r w:rsidR="00334ABF" w:rsidRPr="00194483">
        <w:rPr>
          <w:rFonts w:asciiTheme="minorHAnsi" w:hAnsiTheme="minorHAnsi"/>
          <w:sz w:val="24"/>
          <w:szCs w:val="24"/>
        </w:rPr>
        <w:t>siting</w:t>
      </w:r>
      <w:proofErr w:type="spellEnd"/>
      <w:r w:rsidR="00334ABF" w:rsidRPr="00194483">
        <w:rPr>
          <w:rFonts w:asciiTheme="minorHAnsi" w:hAnsiTheme="minorHAnsi"/>
          <w:sz w:val="24"/>
          <w:szCs w:val="24"/>
        </w:rPr>
        <w:t xml:space="preserve"> renewable energy projects. For example, the DOE Wind and Water Power Program recently completed or updated resource assessments for conventional hydropower (focusing on non-powered dams), wave, tidal, and offshore wind energy. </w:t>
      </w:r>
    </w:p>
    <w:p w:rsidR="00D55B1A" w:rsidRDefault="00D55B1A">
      <w:pPr>
        <w:pStyle w:val="ColorfulList-Accent11"/>
        <w:spacing w:after="0"/>
        <w:ind w:left="0"/>
        <w:rPr>
          <w:rFonts w:asciiTheme="minorHAnsi" w:hAnsiTheme="minorHAnsi"/>
          <w:b/>
          <w:sz w:val="24"/>
          <w:szCs w:val="24"/>
        </w:rPr>
      </w:pPr>
    </w:p>
    <w:p w:rsidR="00D55B1A" w:rsidRDefault="00EB5347">
      <w:pPr>
        <w:pStyle w:val="Heading2"/>
        <w:numPr>
          <w:ilvl w:val="0"/>
          <w:numId w:val="4"/>
        </w:numPr>
        <w:spacing w:before="0" w:line="240" w:lineRule="auto"/>
        <w:rPr>
          <w:rFonts w:asciiTheme="minorHAnsi" w:hAnsiTheme="minorHAnsi" w:cs="Times New Roman"/>
          <w:i/>
          <w:color w:val="000000" w:themeColor="text1"/>
          <w:sz w:val="24"/>
          <w:szCs w:val="24"/>
        </w:rPr>
      </w:pPr>
      <w:r w:rsidRPr="00194483">
        <w:rPr>
          <w:rFonts w:asciiTheme="minorHAnsi" w:hAnsiTheme="minorHAnsi" w:cs="Times New Roman"/>
          <w:i/>
          <w:color w:val="000000" w:themeColor="text1"/>
          <w:sz w:val="24"/>
          <w:szCs w:val="24"/>
        </w:rPr>
        <w:t>Pre-Application/Application</w:t>
      </w:r>
      <w:r w:rsidRPr="000D3AA3">
        <w:rPr>
          <w:rFonts w:asciiTheme="minorHAnsi" w:hAnsiTheme="minorHAnsi" w:cs="Times New Roman"/>
          <w:i/>
          <w:color w:val="000000" w:themeColor="text1"/>
          <w:sz w:val="24"/>
          <w:szCs w:val="24"/>
        </w:rPr>
        <w:t xml:space="preserve"> Improvements</w:t>
      </w:r>
    </w:p>
    <w:p w:rsidR="00D55B1A" w:rsidRDefault="00D55B1A">
      <w:pPr>
        <w:spacing w:after="0" w:line="240" w:lineRule="auto"/>
        <w:rPr>
          <w:sz w:val="24"/>
          <w:szCs w:val="24"/>
        </w:rPr>
      </w:pPr>
    </w:p>
    <w:p w:rsidR="009E4C2D" w:rsidRPr="000D3AA3" w:rsidRDefault="009E4C2D" w:rsidP="009D7777">
      <w:pPr>
        <w:pStyle w:val="NoSpacing"/>
        <w:rPr>
          <w:rFonts w:cs="Times New Roman"/>
          <w:b/>
          <w:sz w:val="24"/>
          <w:szCs w:val="24"/>
        </w:rPr>
      </w:pPr>
      <w:r w:rsidRPr="000D3AA3">
        <w:rPr>
          <w:rFonts w:cs="Times New Roman"/>
          <w:b/>
          <w:sz w:val="24"/>
          <w:szCs w:val="24"/>
        </w:rPr>
        <w:t xml:space="preserve">DOE </w:t>
      </w:r>
      <w:r w:rsidR="00F96433" w:rsidRPr="000D3AA3">
        <w:rPr>
          <w:rFonts w:cs="Times New Roman"/>
          <w:b/>
          <w:sz w:val="24"/>
          <w:szCs w:val="24"/>
        </w:rPr>
        <w:t xml:space="preserve">Office of Electricity Delivery </w:t>
      </w:r>
      <w:r w:rsidR="00A6314B">
        <w:rPr>
          <w:rFonts w:cs="Times New Roman"/>
          <w:b/>
          <w:sz w:val="24"/>
          <w:szCs w:val="24"/>
        </w:rPr>
        <w:t>and Energy Reliability A</w:t>
      </w:r>
      <w:r w:rsidR="00FD1BAA" w:rsidRPr="000D3AA3">
        <w:rPr>
          <w:rFonts w:cs="Times New Roman"/>
          <w:b/>
          <w:sz w:val="24"/>
          <w:szCs w:val="24"/>
        </w:rPr>
        <w:t>pplica</w:t>
      </w:r>
      <w:r w:rsidR="0080212B" w:rsidRPr="000D3AA3">
        <w:rPr>
          <w:rFonts w:cs="Times New Roman"/>
          <w:b/>
          <w:sz w:val="24"/>
          <w:szCs w:val="24"/>
        </w:rPr>
        <w:t>t</w:t>
      </w:r>
      <w:r w:rsidR="00FD1BAA" w:rsidRPr="000D3AA3">
        <w:rPr>
          <w:rFonts w:cs="Times New Roman"/>
          <w:b/>
          <w:sz w:val="24"/>
          <w:szCs w:val="24"/>
        </w:rPr>
        <w:t>ion</w:t>
      </w:r>
      <w:r w:rsidR="0080212B" w:rsidRPr="000D3AA3">
        <w:rPr>
          <w:rFonts w:cs="Times New Roman"/>
          <w:b/>
          <w:sz w:val="24"/>
          <w:szCs w:val="24"/>
        </w:rPr>
        <w:t xml:space="preserve"> </w:t>
      </w:r>
      <w:r w:rsidR="00A6314B">
        <w:rPr>
          <w:rFonts w:cs="Times New Roman"/>
          <w:b/>
          <w:sz w:val="24"/>
          <w:szCs w:val="24"/>
        </w:rPr>
        <w:t>C</w:t>
      </w:r>
      <w:r w:rsidR="0080212B" w:rsidRPr="000D3AA3">
        <w:rPr>
          <w:rFonts w:cs="Times New Roman"/>
          <w:b/>
          <w:sz w:val="24"/>
          <w:szCs w:val="24"/>
        </w:rPr>
        <w:t>oordination</w:t>
      </w:r>
    </w:p>
    <w:p w:rsidR="009E4C2D" w:rsidRPr="000D3AA3" w:rsidRDefault="00F96433" w:rsidP="009D7777">
      <w:pPr>
        <w:pStyle w:val="NoSpacing"/>
        <w:rPr>
          <w:rFonts w:cs="Times New Roman"/>
          <w:sz w:val="24"/>
          <w:szCs w:val="24"/>
        </w:rPr>
      </w:pPr>
      <w:r w:rsidRPr="000D3AA3">
        <w:rPr>
          <w:rFonts w:cs="Times New Roman"/>
          <w:sz w:val="24"/>
          <w:szCs w:val="24"/>
        </w:rPr>
        <w:t>The Office of Electricity Delivery and Energy Reli</w:t>
      </w:r>
      <w:r w:rsidR="00D9173F" w:rsidRPr="000D3AA3">
        <w:rPr>
          <w:rFonts w:cs="Times New Roman"/>
          <w:sz w:val="24"/>
          <w:szCs w:val="24"/>
        </w:rPr>
        <w:t>a</w:t>
      </w:r>
      <w:r w:rsidRPr="000D3AA3">
        <w:rPr>
          <w:rFonts w:cs="Times New Roman"/>
          <w:sz w:val="24"/>
          <w:szCs w:val="24"/>
        </w:rPr>
        <w:t xml:space="preserve">bility </w:t>
      </w:r>
      <w:r w:rsidR="00A6314B">
        <w:rPr>
          <w:rFonts w:cs="Times New Roman"/>
          <w:sz w:val="24"/>
          <w:szCs w:val="24"/>
        </w:rPr>
        <w:t>will continue to engage,</w:t>
      </w:r>
      <w:r w:rsidR="00A6314B" w:rsidRPr="000D3AA3">
        <w:rPr>
          <w:rFonts w:cs="Times New Roman"/>
          <w:sz w:val="24"/>
          <w:szCs w:val="24"/>
        </w:rPr>
        <w:t xml:space="preserve"> with potential applicants </w:t>
      </w:r>
      <w:r w:rsidR="00A6314B">
        <w:rPr>
          <w:rFonts w:cs="Times New Roman"/>
          <w:sz w:val="24"/>
          <w:szCs w:val="24"/>
        </w:rPr>
        <w:t>upon request</w:t>
      </w:r>
      <w:r w:rsidRPr="000D3AA3">
        <w:rPr>
          <w:rFonts w:cs="Times New Roman"/>
          <w:sz w:val="24"/>
          <w:szCs w:val="24"/>
        </w:rPr>
        <w:t xml:space="preserve">. Guidance is available on </w:t>
      </w:r>
      <w:r w:rsidR="004D2CF2" w:rsidRPr="000D3AA3">
        <w:rPr>
          <w:rFonts w:cs="Times New Roman"/>
          <w:sz w:val="24"/>
          <w:szCs w:val="24"/>
        </w:rPr>
        <w:t xml:space="preserve">the </w:t>
      </w:r>
      <w:hyperlink r:id="rId15" w:history="1">
        <w:r w:rsidRPr="000D3AA3">
          <w:rPr>
            <w:rStyle w:val="Hyperlink"/>
            <w:rFonts w:cs="Times New Roman"/>
            <w:sz w:val="24"/>
            <w:szCs w:val="24"/>
          </w:rPr>
          <w:t>OE website</w:t>
        </w:r>
      </w:hyperlink>
      <w:r w:rsidR="004D2CF2" w:rsidRPr="000D3AA3">
        <w:rPr>
          <w:rFonts w:cs="Times New Roman"/>
          <w:sz w:val="24"/>
          <w:szCs w:val="24"/>
        </w:rPr>
        <w:t>.</w:t>
      </w:r>
      <w:r w:rsidR="0068167F" w:rsidRPr="000D3AA3">
        <w:rPr>
          <w:rFonts w:cs="Times New Roman"/>
          <w:sz w:val="24"/>
          <w:szCs w:val="24"/>
        </w:rPr>
        <w:t xml:space="preserve"> </w:t>
      </w:r>
    </w:p>
    <w:p w:rsidR="009E4C2D" w:rsidRPr="000D3AA3" w:rsidRDefault="009E4C2D" w:rsidP="009D7777">
      <w:pPr>
        <w:pStyle w:val="NoSpacing"/>
        <w:rPr>
          <w:rFonts w:cs="Times New Roman"/>
          <w:b/>
          <w:sz w:val="24"/>
          <w:szCs w:val="24"/>
        </w:rPr>
      </w:pPr>
    </w:p>
    <w:p w:rsidR="00B61447" w:rsidRDefault="00B61447" w:rsidP="009D7777">
      <w:pPr>
        <w:pStyle w:val="NoSpacing"/>
        <w:rPr>
          <w:rFonts w:cs="Times New Roman"/>
          <w:sz w:val="24"/>
          <w:szCs w:val="24"/>
        </w:rPr>
      </w:pPr>
    </w:p>
    <w:p w:rsidR="00B432D4" w:rsidRPr="0064207A" w:rsidRDefault="00B432D4" w:rsidP="00B432D4">
      <w:pPr>
        <w:pStyle w:val="NoSpacing"/>
        <w:rPr>
          <w:rFonts w:cs="Times New Roman"/>
          <w:b/>
          <w:sz w:val="24"/>
          <w:szCs w:val="24"/>
        </w:rPr>
      </w:pPr>
      <w:r w:rsidRPr="00465528">
        <w:rPr>
          <w:rFonts w:cs="Times New Roman"/>
          <w:b/>
          <w:sz w:val="24"/>
          <w:szCs w:val="24"/>
        </w:rPr>
        <w:t>DOE Update of NEPA Regulations</w:t>
      </w:r>
    </w:p>
    <w:p w:rsidR="00B432D4" w:rsidRDefault="00B432D4" w:rsidP="00B432D4">
      <w:pPr>
        <w:pStyle w:val="NoSpacing"/>
        <w:rPr>
          <w:rFonts w:cs="Times New Roman"/>
          <w:sz w:val="24"/>
          <w:szCs w:val="24"/>
        </w:rPr>
      </w:pPr>
      <w:r>
        <w:rPr>
          <w:rFonts w:cs="Times New Roman"/>
          <w:sz w:val="24"/>
          <w:szCs w:val="24"/>
        </w:rPr>
        <w:t xml:space="preserve">In 2011, DOE revised its NEPA regulations to </w:t>
      </w:r>
      <w:r w:rsidRPr="00273221">
        <w:rPr>
          <w:rFonts w:cs="Times New Roman"/>
          <w:sz w:val="24"/>
          <w:szCs w:val="24"/>
        </w:rPr>
        <w:t>better align the</w:t>
      </w:r>
      <w:r>
        <w:rPr>
          <w:rFonts w:cs="Times New Roman"/>
          <w:sz w:val="24"/>
          <w:szCs w:val="24"/>
        </w:rPr>
        <w:t xml:space="preserve">m </w:t>
      </w:r>
      <w:r w:rsidRPr="00273221">
        <w:rPr>
          <w:rFonts w:cs="Times New Roman"/>
          <w:sz w:val="24"/>
          <w:szCs w:val="24"/>
        </w:rPr>
        <w:t xml:space="preserve">with </w:t>
      </w:r>
      <w:r>
        <w:rPr>
          <w:rFonts w:cs="Times New Roman"/>
          <w:sz w:val="24"/>
          <w:szCs w:val="24"/>
        </w:rPr>
        <w:t>the Department</w:t>
      </w:r>
      <w:r w:rsidRPr="00273221">
        <w:rPr>
          <w:rFonts w:cs="Times New Roman"/>
          <w:sz w:val="24"/>
          <w:szCs w:val="24"/>
        </w:rPr>
        <w:t>’s</w:t>
      </w:r>
      <w:r>
        <w:rPr>
          <w:rFonts w:cs="Times New Roman"/>
          <w:sz w:val="24"/>
          <w:szCs w:val="24"/>
        </w:rPr>
        <w:t xml:space="preserve"> </w:t>
      </w:r>
      <w:r w:rsidRPr="00273221">
        <w:rPr>
          <w:rFonts w:cs="Times New Roman"/>
          <w:sz w:val="24"/>
          <w:szCs w:val="24"/>
        </w:rPr>
        <w:t>current activities and recent</w:t>
      </w:r>
      <w:r>
        <w:rPr>
          <w:rFonts w:cs="Times New Roman"/>
          <w:sz w:val="24"/>
          <w:szCs w:val="24"/>
        </w:rPr>
        <w:t xml:space="preserve"> </w:t>
      </w:r>
      <w:r w:rsidRPr="00273221">
        <w:rPr>
          <w:rFonts w:cs="Times New Roman"/>
          <w:sz w:val="24"/>
          <w:szCs w:val="24"/>
        </w:rPr>
        <w:t>experiences, and to update the</w:t>
      </w:r>
      <w:r>
        <w:rPr>
          <w:rFonts w:cs="Times New Roman"/>
          <w:sz w:val="24"/>
          <w:szCs w:val="24"/>
        </w:rPr>
        <w:t xml:space="preserve"> </w:t>
      </w:r>
      <w:r w:rsidRPr="00273221">
        <w:rPr>
          <w:rFonts w:cs="Times New Roman"/>
          <w:sz w:val="24"/>
          <w:szCs w:val="24"/>
        </w:rPr>
        <w:t>provisions with respect to current</w:t>
      </w:r>
      <w:r>
        <w:rPr>
          <w:rFonts w:cs="Times New Roman"/>
          <w:sz w:val="24"/>
          <w:szCs w:val="24"/>
        </w:rPr>
        <w:t xml:space="preserve"> </w:t>
      </w:r>
      <w:r w:rsidRPr="00273221">
        <w:rPr>
          <w:rFonts w:cs="Times New Roman"/>
          <w:sz w:val="24"/>
          <w:szCs w:val="24"/>
        </w:rPr>
        <w:t>technologies and regulatory</w:t>
      </w:r>
      <w:r>
        <w:rPr>
          <w:rFonts w:cs="Times New Roman"/>
          <w:sz w:val="24"/>
          <w:szCs w:val="24"/>
        </w:rPr>
        <w:t xml:space="preserve"> </w:t>
      </w:r>
      <w:r w:rsidRPr="00273221">
        <w:rPr>
          <w:rFonts w:cs="Times New Roman"/>
          <w:sz w:val="24"/>
          <w:szCs w:val="24"/>
        </w:rPr>
        <w:t>requirements</w:t>
      </w:r>
      <w:r>
        <w:rPr>
          <w:rFonts w:cs="Times New Roman"/>
          <w:sz w:val="24"/>
          <w:szCs w:val="24"/>
        </w:rPr>
        <w:t xml:space="preserve"> (76 FR 63764; October 13, 2011).  DOE </w:t>
      </w:r>
      <w:r w:rsidRPr="001214C3">
        <w:rPr>
          <w:rFonts w:cs="Times New Roman"/>
          <w:sz w:val="24"/>
          <w:szCs w:val="24"/>
        </w:rPr>
        <w:t>established 20 new categorical exclusions</w:t>
      </w:r>
      <w:r>
        <w:rPr>
          <w:rFonts w:cs="Times New Roman"/>
          <w:sz w:val="24"/>
          <w:szCs w:val="24"/>
        </w:rPr>
        <w:t xml:space="preserve"> (CXs) and removed two CX categories, one e</w:t>
      </w:r>
      <w:r w:rsidRPr="00A251FA">
        <w:rPr>
          <w:rFonts w:cs="Times New Roman"/>
          <w:sz w:val="24"/>
          <w:szCs w:val="24"/>
        </w:rPr>
        <w:t>nvironmental</w:t>
      </w:r>
      <w:r>
        <w:rPr>
          <w:rFonts w:cs="Times New Roman"/>
          <w:sz w:val="24"/>
          <w:szCs w:val="24"/>
        </w:rPr>
        <w:t xml:space="preserve"> </w:t>
      </w:r>
      <w:r w:rsidRPr="00A251FA">
        <w:rPr>
          <w:rFonts w:cs="Times New Roman"/>
          <w:sz w:val="24"/>
          <w:szCs w:val="24"/>
        </w:rPr>
        <w:t>assessment category, and three</w:t>
      </w:r>
      <w:r>
        <w:rPr>
          <w:rFonts w:cs="Times New Roman"/>
          <w:sz w:val="24"/>
          <w:szCs w:val="24"/>
        </w:rPr>
        <w:t xml:space="preserve"> </w:t>
      </w:r>
      <w:r w:rsidRPr="00A251FA">
        <w:rPr>
          <w:rFonts w:cs="Times New Roman"/>
          <w:sz w:val="24"/>
          <w:szCs w:val="24"/>
        </w:rPr>
        <w:t>environmental impact statement</w:t>
      </w:r>
      <w:r>
        <w:rPr>
          <w:rFonts w:cs="Times New Roman"/>
          <w:sz w:val="24"/>
          <w:szCs w:val="24"/>
        </w:rPr>
        <w:t xml:space="preserve"> c</w:t>
      </w:r>
      <w:r w:rsidRPr="00A251FA">
        <w:rPr>
          <w:rFonts w:cs="Times New Roman"/>
          <w:sz w:val="24"/>
          <w:szCs w:val="24"/>
        </w:rPr>
        <w:t>ategories</w:t>
      </w:r>
      <w:r>
        <w:rPr>
          <w:rFonts w:cs="Times New Roman"/>
          <w:sz w:val="24"/>
          <w:szCs w:val="24"/>
        </w:rPr>
        <w:t>.  B</w:t>
      </w:r>
      <w:r w:rsidRPr="001214C3">
        <w:rPr>
          <w:rFonts w:cs="Times New Roman"/>
          <w:sz w:val="24"/>
          <w:szCs w:val="24"/>
        </w:rPr>
        <w:t>ased on DOE’s experience, the experience of other agencies, completed environmental reviews, professional and expert opinion, scientific analyses</w:t>
      </w:r>
      <w:r>
        <w:rPr>
          <w:rFonts w:cs="Times New Roman"/>
          <w:sz w:val="24"/>
          <w:szCs w:val="24"/>
        </w:rPr>
        <w:t xml:space="preserve">, and public input, </w:t>
      </w:r>
      <w:r w:rsidRPr="001214C3">
        <w:rPr>
          <w:rFonts w:cs="Times New Roman"/>
          <w:sz w:val="24"/>
          <w:szCs w:val="24"/>
        </w:rPr>
        <w:t xml:space="preserve">DOE determined that </w:t>
      </w:r>
      <w:r>
        <w:rPr>
          <w:rFonts w:cs="Times New Roman"/>
          <w:sz w:val="24"/>
          <w:szCs w:val="24"/>
        </w:rPr>
        <w:t>types of actions included in the new CXs</w:t>
      </w:r>
      <w:r w:rsidRPr="001214C3">
        <w:rPr>
          <w:rFonts w:cs="Times New Roman"/>
          <w:sz w:val="24"/>
          <w:szCs w:val="24"/>
        </w:rPr>
        <w:t xml:space="preserve"> </w:t>
      </w:r>
      <w:r>
        <w:rPr>
          <w:rFonts w:cs="Times New Roman"/>
          <w:sz w:val="24"/>
          <w:szCs w:val="24"/>
        </w:rPr>
        <w:t xml:space="preserve">normally </w:t>
      </w:r>
      <w:r w:rsidRPr="001214C3">
        <w:rPr>
          <w:rFonts w:cs="Times New Roman"/>
          <w:sz w:val="24"/>
          <w:szCs w:val="24"/>
        </w:rPr>
        <w:t>w</w:t>
      </w:r>
      <w:r>
        <w:rPr>
          <w:rFonts w:cs="Times New Roman"/>
          <w:sz w:val="24"/>
          <w:szCs w:val="24"/>
        </w:rPr>
        <w:t>ould</w:t>
      </w:r>
      <w:r w:rsidRPr="001214C3">
        <w:rPr>
          <w:rFonts w:cs="Times New Roman"/>
          <w:sz w:val="24"/>
          <w:szCs w:val="24"/>
        </w:rPr>
        <w:t xml:space="preserve"> not have significant environmental impacts, individually or cumulatively.</w:t>
      </w:r>
      <w:r>
        <w:rPr>
          <w:rFonts w:cs="Times New Roman"/>
          <w:sz w:val="24"/>
          <w:szCs w:val="24"/>
        </w:rPr>
        <w:t xml:space="preserve">  DOE’s revisions were consistent with guidance issued in 2010 by CEQ on “</w:t>
      </w:r>
      <w:r w:rsidRPr="0072006B">
        <w:rPr>
          <w:rFonts w:cs="Times New Roman"/>
          <w:sz w:val="24"/>
          <w:szCs w:val="24"/>
        </w:rPr>
        <w:t>Establishing, Applying, and Revising Categorical Exclusions under the National</w:t>
      </w:r>
      <w:r>
        <w:rPr>
          <w:rFonts w:cs="Times New Roman"/>
          <w:sz w:val="24"/>
          <w:szCs w:val="24"/>
        </w:rPr>
        <w:t xml:space="preserve"> </w:t>
      </w:r>
      <w:r w:rsidRPr="0072006B">
        <w:rPr>
          <w:rFonts w:cs="Times New Roman"/>
          <w:sz w:val="24"/>
          <w:szCs w:val="24"/>
        </w:rPr>
        <w:t>Environmental Policy Act</w:t>
      </w:r>
      <w:r>
        <w:rPr>
          <w:rFonts w:cs="Times New Roman"/>
          <w:sz w:val="24"/>
          <w:szCs w:val="24"/>
        </w:rPr>
        <w:t xml:space="preserve">.”  </w:t>
      </w:r>
      <w:r w:rsidRPr="00A251FA">
        <w:rPr>
          <w:rFonts w:cs="Times New Roman"/>
          <w:sz w:val="24"/>
          <w:szCs w:val="24"/>
        </w:rPr>
        <w:t>(75 FR 75628; December 6,</w:t>
      </w:r>
      <w:r>
        <w:rPr>
          <w:rFonts w:cs="Times New Roman"/>
          <w:sz w:val="24"/>
          <w:szCs w:val="24"/>
        </w:rPr>
        <w:t xml:space="preserve"> </w:t>
      </w:r>
      <w:r w:rsidRPr="00A251FA">
        <w:rPr>
          <w:rFonts w:cs="Times New Roman"/>
          <w:sz w:val="24"/>
          <w:szCs w:val="24"/>
        </w:rPr>
        <w:t>2010)</w:t>
      </w:r>
      <w:r>
        <w:rPr>
          <w:rFonts w:cs="Times New Roman"/>
          <w:sz w:val="24"/>
          <w:szCs w:val="24"/>
        </w:rPr>
        <w:t xml:space="preserve">. </w:t>
      </w:r>
    </w:p>
    <w:p w:rsidR="004B0E0F" w:rsidRDefault="004B0E0F" w:rsidP="00B432D4">
      <w:pPr>
        <w:pStyle w:val="NoSpacing"/>
        <w:rPr>
          <w:rFonts w:cs="Times New Roman"/>
          <w:sz w:val="24"/>
          <w:szCs w:val="24"/>
        </w:rPr>
      </w:pPr>
    </w:p>
    <w:p w:rsidR="004B0E0F" w:rsidRDefault="004B0E0F" w:rsidP="00B432D4">
      <w:pPr>
        <w:pStyle w:val="NoSpacing"/>
        <w:rPr>
          <w:rFonts w:cs="Times New Roman"/>
          <w:sz w:val="24"/>
          <w:szCs w:val="24"/>
        </w:rPr>
      </w:pPr>
      <w:r w:rsidRPr="004B0E0F">
        <w:rPr>
          <w:rFonts w:cs="Times New Roman"/>
          <w:sz w:val="24"/>
          <w:szCs w:val="24"/>
        </w:rPr>
        <w:t xml:space="preserve">DOE’s revised NEPA regulations are consistent with reform efforts by other federal agencies. For example, in 2008, FERC began developing a process to allow testing of Marine Hydrokinetic (MHK) devices for technical viability and environmental impacts.  Allowing pilot-scale testing in non-sensitive areas minimizes the potential environmental impacts of unproven technologies.  Such pilot-scale testing also allows technology firms to gather evidence regarding risk and safety of the devices, which improves the financing options and </w:t>
      </w:r>
      <w:proofErr w:type="spellStart"/>
      <w:r w:rsidRPr="004B0E0F">
        <w:rPr>
          <w:rFonts w:cs="Times New Roman"/>
          <w:sz w:val="24"/>
          <w:szCs w:val="24"/>
        </w:rPr>
        <w:t>siting</w:t>
      </w:r>
      <w:proofErr w:type="spellEnd"/>
      <w:r w:rsidRPr="004B0E0F">
        <w:rPr>
          <w:rFonts w:cs="Times New Roman"/>
          <w:sz w:val="24"/>
          <w:szCs w:val="24"/>
        </w:rPr>
        <w:t xml:space="preserve"> timelines for future commercial-scale deployments of promising technologies.  The United States Army Corps of </w:t>
      </w:r>
      <w:r w:rsidRPr="004B0E0F">
        <w:rPr>
          <w:rFonts w:cs="Times New Roman"/>
          <w:sz w:val="24"/>
          <w:szCs w:val="24"/>
        </w:rPr>
        <w:lastRenderedPageBreak/>
        <w:t xml:space="preserve">Engineers recently created a </w:t>
      </w:r>
      <w:proofErr w:type="gramStart"/>
      <w:r w:rsidRPr="004B0E0F">
        <w:rPr>
          <w:rFonts w:cs="Times New Roman"/>
          <w:sz w:val="24"/>
          <w:szCs w:val="24"/>
        </w:rPr>
        <w:t>Nationwide</w:t>
      </w:r>
      <w:proofErr w:type="gramEnd"/>
      <w:r w:rsidRPr="004B0E0F">
        <w:rPr>
          <w:rFonts w:cs="Times New Roman"/>
          <w:sz w:val="24"/>
          <w:szCs w:val="24"/>
        </w:rPr>
        <w:t xml:space="preserve"> permit under Section 404 of the Clean Water Act and/or Section 10 of the Rivers and Harbors Act for small-scale marine renewable energy projects based on a similar premise.  DOE’s revised NEPA regulations include CXs for similar pilot-scale activities and several types of small-scale renewable energy projects, including one for small-scale renewable energy research and development and pilot projects in aquatic environments.</w:t>
      </w:r>
    </w:p>
    <w:p w:rsidR="00B432D4" w:rsidRPr="000D3AA3" w:rsidRDefault="00B432D4" w:rsidP="009D7777">
      <w:pPr>
        <w:pStyle w:val="NoSpacing"/>
        <w:rPr>
          <w:rFonts w:cs="Times New Roman"/>
          <w:sz w:val="24"/>
          <w:szCs w:val="24"/>
        </w:rPr>
      </w:pPr>
    </w:p>
    <w:p w:rsidR="00D55B1A" w:rsidRDefault="00D55B1A">
      <w:pPr>
        <w:pStyle w:val="NoSpacing"/>
        <w:rPr>
          <w:rFonts w:cs="Times New Roman"/>
          <w:sz w:val="24"/>
          <w:szCs w:val="24"/>
        </w:rPr>
      </w:pPr>
    </w:p>
    <w:p w:rsidR="00D55B1A" w:rsidRDefault="00EB5347">
      <w:pPr>
        <w:pStyle w:val="Heading2"/>
        <w:numPr>
          <w:ilvl w:val="0"/>
          <w:numId w:val="4"/>
        </w:numPr>
        <w:spacing w:before="0" w:line="240" w:lineRule="auto"/>
        <w:rPr>
          <w:rFonts w:asciiTheme="minorHAnsi" w:hAnsiTheme="minorHAnsi" w:cs="Times New Roman"/>
          <w:i/>
          <w:color w:val="000000" w:themeColor="text1"/>
          <w:sz w:val="24"/>
          <w:szCs w:val="24"/>
        </w:rPr>
      </w:pPr>
      <w:r w:rsidRPr="000D3AA3">
        <w:rPr>
          <w:rFonts w:asciiTheme="minorHAnsi" w:hAnsiTheme="minorHAnsi" w:cs="Times New Roman"/>
          <w:i/>
          <w:color w:val="000000" w:themeColor="text1"/>
          <w:sz w:val="24"/>
          <w:szCs w:val="24"/>
        </w:rPr>
        <w:t>Outreach and Education</w:t>
      </w:r>
      <w:r w:rsidR="00463B00" w:rsidRPr="000D3AA3">
        <w:rPr>
          <w:rFonts w:asciiTheme="minorHAnsi" w:hAnsiTheme="minorHAnsi" w:cs="Times New Roman"/>
          <w:i/>
          <w:color w:val="000000" w:themeColor="text1"/>
          <w:sz w:val="24"/>
          <w:szCs w:val="24"/>
        </w:rPr>
        <w:tab/>
      </w:r>
    </w:p>
    <w:p w:rsidR="00D55B1A" w:rsidRDefault="00D55B1A">
      <w:pPr>
        <w:spacing w:after="0" w:line="240" w:lineRule="auto"/>
        <w:rPr>
          <w:sz w:val="24"/>
          <w:szCs w:val="24"/>
        </w:rPr>
      </w:pPr>
    </w:p>
    <w:p w:rsidR="003E6B85" w:rsidRPr="000D3AA3" w:rsidRDefault="003E6B85" w:rsidP="009D7777">
      <w:pPr>
        <w:pStyle w:val="NoSpacing"/>
        <w:rPr>
          <w:rFonts w:cs="Times New Roman"/>
          <w:b/>
          <w:sz w:val="24"/>
          <w:szCs w:val="24"/>
        </w:rPr>
      </w:pPr>
      <w:r w:rsidRPr="000D3AA3">
        <w:rPr>
          <w:rFonts w:cs="Times New Roman"/>
          <w:b/>
          <w:sz w:val="24"/>
          <w:szCs w:val="24"/>
        </w:rPr>
        <w:t>Interagency Training for Projects on Tribal Lands</w:t>
      </w:r>
    </w:p>
    <w:p w:rsidR="005E083D" w:rsidRPr="000D3AA3" w:rsidRDefault="003E6B85" w:rsidP="009D7777">
      <w:pPr>
        <w:pStyle w:val="NoSpacing"/>
        <w:rPr>
          <w:rFonts w:cs="Times New Roman"/>
          <w:sz w:val="24"/>
          <w:szCs w:val="24"/>
        </w:rPr>
      </w:pPr>
      <w:r w:rsidRPr="000D3AA3">
        <w:rPr>
          <w:rFonts w:cs="Times New Roman"/>
          <w:sz w:val="24"/>
          <w:szCs w:val="24"/>
        </w:rPr>
        <w:t xml:space="preserve">Energy projects on Indian land may require additional approvals compared to other projects.  If a nontribal entity is leasing land from an Indian tribe to develop an energy project, there are a unique set of laws, in addition to the environmental review, that the Tribe and project developer must comply with for the </w:t>
      </w:r>
      <w:r w:rsidR="00615101">
        <w:rPr>
          <w:rFonts w:cs="Times New Roman"/>
          <w:sz w:val="24"/>
          <w:szCs w:val="24"/>
        </w:rPr>
        <w:t>DOI’s Bureau of Indian Affairs (</w:t>
      </w:r>
      <w:r w:rsidRPr="000D3AA3">
        <w:rPr>
          <w:rFonts w:cs="Times New Roman"/>
          <w:sz w:val="24"/>
          <w:szCs w:val="24"/>
        </w:rPr>
        <w:t>BIA</w:t>
      </w:r>
      <w:r w:rsidR="00615101">
        <w:rPr>
          <w:rFonts w:cs="Times New Roman"/>
          <w:sz w:val="24"/>
          <w:szCs w:val="24"/>
        </w:rPr>
        <w:t>)</w:t>
      </w:r>
      <w:r w:rsidRPr="000D3AA3">
        <w:rPr>
          <w:rFonts w:cs="Times New Roman"/>
          <w:sz w:val="24"/>
          <w:szCs w:val="24"/>
        </w:rPr>
        <w:t xml:space="preserve"> to approve the lease under federal law.  The BIA frequently asks DOE’s Office of Indian Energy</w:t>
      </w:r>
      <w:r w:rsidR="00AF33B2">
        <w:rPr>
          <w:rFonts w:cs="Times New Roman"/>
          <w:sz w:val="24"/>
          <w:szCs w:val="24"/>
        </w:rPr>
        <w:t xml:space="preserve"> </w:t>
      </w:r>
      <w:r w:rsidR="00AF33B2" w:rsidRPr="00AF33B2">
        <w:rPr>
          <w:rFonts w:cs="Times New Roman"/>
          <w:sz w:val="24"/>
          <w:szCs w:val="24"/>
        </w:rPr>
        <w:t>Policy and Programs</w:t>
      </w:r>
      <w:r w:rsidRPr="000D3AA3">
        <w:rPr>
          <w:rFonts w:cs="Times New Roman"/>
          <w:sz w:val="24"/>
          <w:szCs w:val="24"/>
        </w:rPr>
        <w:t xml:space="preserve"> (IE) for assistance (</w:t>
      </w:r>
      <w:r w:rsidR="00615101">
        <w:rPr>
          <w:rFonts w:cs="Times New Roman"/>
          <w:sz w:val="24"/>
          <w:szCs w:val="24"/>
        </w:rPr>
        <w:t xml:space="preserve">e.g., </w:t>
      </w:r>
      <w:r w:rsidR="00615101" w:rsidRPr="000D3AA3">
        <w:rPr>
          <w:rFonts w:cs="Times New Roman"/>
          <w:sz w:val="24"/>
          <w:szCs w:val="24"/>
        </w:rPr>
        <w:t>financial, technolog</w:t>
      </w:r>
      <w:r w:rsidR="00615101">
        <w:rPr>
          <w:rFonts w:cs="Times New Roman"/>
          <w:sz w:val="24"/>
          <w:szCs w:val="24"/>
        </w:rPr>
        <w:t>ical</w:t>
      </w:r>
      <w:r w:rsidRPr="000D3AA3">
        <w:rPr>
          <w:rFonts w:cs="Times New Roman"/>
          <w:sz w:val="24"/>
          <w:szCs w:val="24"/>
        </w:rPr>
        <w:t>) in reviewing the proposed project.  In order to expand its assistance and outreach in an efficient manner, IE is in the process of developing a training program for BIA staff.</w:t>
      </w:r>
    </w:p>
    <w:p w:rsidR="004D2CF2" w:rsidRPr="000D3AA3" w:rsidRDefault="004D2CF2" w:rsidP="009D7777">
      <w:pPr>
        <w:pStyle w:val="NoSpacing"/>
        <w:rPr>
          <w:rFonts w:cs="Times New Roman"/>
          <w:sz w:val="24"/>
          <w:szCs w:val="24"/>
        </w:rPr>
      </w:pPr>
    </w:p>
    <w:p w:rsidR="00267085" w:rsidRDefault="005E083D" w:rsidP="009D7777">
      <w:pPr>
        <w:pStyle w:val="NoSpacing"/>
        <w:rPr>
          <w:rFonts w:cs="Times New Roman"/>
          <w:sz w:val="24"/>
          <w:szCs w:val="24"/>
        </w:rPr>
      </w:pPr>
      <w:r w:rsidRPr="000D3AA3">
        <w:rPr>
          <w:rFonts w:cs="Times New Roman"/>
          <w:b/>
          <w:sz w:val="24"/>
          <w:szCs w:val="24"/>
        </w:rPr>
        <w:t>Renewable Energy Development in Indian Country: A Handbook for Tribes</w:t>
      </w:r>
    </w:p>
    <w:p w:rsidR="003C0D1A" w:rsidRPr="000D3AA3" w:rsidRDefault="005E083D" w:rsidP="009D7777">
      <w:pPr>
        <w:pStyle w:val="NoSpacing"/>
        <w:rPr>
          <w:rFonts w:cs="Times New Roman"/>
          <w:color w:val="000000"/>
          <w:sz w:val="24"/>
          <w:szCs w:val="24"/>
        </w:rPr>
      </w:pPr>
      <w:r w:rsidRPr="000D3AA3">
        <w:rPr>
          <w:rFonts w:cs="Times New Roman"/>
          <w:sz w:val="24"/>
          <w:szCs w:val="24"/>
        </w:rPr>
        <w:t>T</w:t>
      </w:r>
      <w:r w:rsidRPr="000D3AA3">
        <w:rPr>
          <w:rFonts w:cs="Times New Roman"/>
          <w:color w:val="000000"/>
          <w:sz w:val="24"/>
          <w:szCs w:val="24"/>
        </w:rPr>
        <w:t>his Handbook funded by EERE’s Tribal Energy Program is intended to provide tribal leaders, tribal economic and energy enterprises</w:t>
      </w:r>
      <w:r w:rsidR="00615101">
        <w:rPr>
          <w:rFonts w:cs="Times New Roman"/>
          <w:color w:val="000000"/>
          <w:sz w:val="24"/>
          <w:szCs w:val="24"/>
        </w:rPr>
        <w:t>,</w:t>
      </w:r>
      <w:r w:rsidRPr="000D3AA3">
        <w:rPr>
          <w:rFonts w:cs="Times New Roman"/>
          <w:color w:val="000000"/>
          <w:sz w:val="24"/>
          <w:szCs w:val="24"/>
        </w:rPr>
        <w:t xml:space="preserve"> and those supporting them with: a general overview of the renewable energy project development process; a discussion of how to structure a renewable energy project transaction to protect tribal interests, with an emphasis on joint project development efforts undertaken with non-tribal parties; a general overview of key energy development agreements, including power sale agreements, transmission and interconnection agreements, and land leases; and a detailed discussion of ways tribes can finance renewable energy projects, the sources of funding or financing that may be available, the types of investors that may be available, and federal tax incentives for renewable energy projects.</w:t>
      </w:r>
    </w:p>
    <w:p w:rsidR="003C0D1A" w:rsidRPr="000D3AA3" w:rsidRDefault="003C0D1A" w:rsidP="009D7777">
      <w:pPr>
        <w:pStyle w:val="NoSpacing"/>
        <w:rPr>
          <w:rFonts w:cs="Times New Roman"/>
          <w:color w:val="000000"/>
          <w:sz w:val="24"/>
          <w:szCs w:val="24"/>
        </w:rPr>
      </w:pPr>
    </w:p>
    <w:p w:rsidR="003C0D1A" w:rsidRPr="000D3AA3" w:rsidRDefault="003C0D1A" w:rsidP="009D7777">
      <w:pPr>
        <w:pStyle w:val="NoSpacing"/>
        <w:rPr>
          <w:rFonts w:cs="Times New Roman"/>
          <w:color w:val="000000"/>
          <w:sz w:val="24"/>
          <w:szCs w:val="24"/>
        </w:rPr>
      </w:pPr>
      <w:r w:rsidRPr="000D3AA3">
        <w:rPr>
          <w:rFonts w:cs="Times New Roman"/>
          <w:b/>
          <w:color w:val="000000"/>
          <w:sz w:val="24"/>
          <w:szCs w:val="24"/>
        </w:rPr>
        <w:t>Online Tribal Energy Guide</w:t>
      </w:r>
      <w:r w:rsidRPr="000D3AA3">
        <w:rPr>
          <w:rFonts w:cs="Times New Roman"/>
          <w:color w:val="000000"/>
          <w:sz w:val="24"/>
          <w:szCs w:val="24"/>
        </w:rPr>
        <w:t xml:space="preserve">  </w:t>
      </w:r>
    </w:p>
    <w:p w:rsidR="005E083D" w:rsidRPr="000D3AA3" w:rsidRDefault="003C0D1A" w:rsidP="009D7777">
      <w:pPr>
        <w:pStyle w:val="NoSpacing"/>
        <w:rPr>
          <w:rFonts w:cs="Times New Roman"/>
          <w:color w:val="000000"/>
          <w:sz w:val="24"/>
          <w:szCs w:val="24"/>
        </w:rPr>
      </w:pPr>
      <w:r w:rsidRPr="000D3AA3">
        <w:rPr>
          <w:rFonts w:cs="Times New Roman"/>
          <w:color w:val="000000"/>
          <w:sz w:val="24"/>
          <w:szCs w:val="24"/>
        </w:rPr>
        <w:t>EERE’s Tribal Energy Program has developed an online guide to Tribal Energy Development. The Guide includes development processes (</w:t>
      </w:r>
      <w:r w:rsidR="00615101">
        <w:rPr>
          <w:rFonts w:cs="Times New Roman"/>
          <w:color w:val="000000"/>
          <w:sz w:val="24"/>
          <w:szCs w:val="24"/>
        </w:rPr>
        <w:t xml:space="preserve">for </w:t>
      </w:r>
      <w:r w:rsidRPr="000D3AA3">
        <w:rPr>
          <w:rFonts w:cs="Times New Roman"/>
          <w:color w:val="000000"/>
          <w:sz w:val="24"/>
          <w:szCs w:val="24"/>
        </w:rPr>
        <w:t>small and large</w:t>
      </w:r>
      <w:r w:rsidR="00615101">
        <w:rPr>
          <w:rFonts w:cs="Times New Roman"/>
          <w:color w:val="000000"/>
          <w:sz w:val="24"/>
          <w:szCs w:val="24"/>
        </w:rPr>
        <w:t xml:space="preserve"> projects</w:t>
      </w:r>
      <w:r w:rsidRPr="000D3AA3">
        <w:rPr>
          <w:rFonts w:cs="Times New Roman"/>
          <w:color w:val="000000"/>
          <w:sz w:val="24"/>
          <w:szCs w:val="24"/>
        </w:rPr>
        <w:t xml:space="preserve">), </w:t>
      </w:r>
      <w:r w:rsidR="00CB4E23" w:rsidRPr="000D3AA3">
        <w:rPr>
          <w:rFonts w:cs="Times New Roman"/>
          <w:color w:val="000000"/>
          <w:sz w:val="24"/>
          <w:szCs w:val="24"/>
        </w:rPr>
        <w:t xml:space="preserve">energy </w:t>
      </w:r>
      <w:r w:rsidRPr="000D3AA3">
        <w:rPr>
          <w:rFonts w:cs="Times New Roman"/>
          <w:color w:val="000000"/>
          <w:sz w:val="24"/>
          <w:szCs w:val="24"/>
        </w:rPr>
        <w:t xml:space="preserve">resource maps, </w:t>
      </w:r>
      <w:r w:rsidR="00CB4E23" w:rsidRPr="000D3AA3">
        <w:rPr>
          <w:rFonts w:cs="Times New Roman"/>
          <w:color w:val="000000"/>
          <w:sz w:val="24"/>
          <w:szCs w:val="24"/>
        </w:rPr>
        <w:t xml:space="preserve">energy </w:t>
      </w:r>
      <w:r w:rsidRPr="000D3AA3">
        <w:rPr>
          <w:rFonts w:cs="Times New Roman"/>
          <w:color w:val="000000"/>
          <w:sz w:val="24"/>
          <w:szCs w:val="24"/>
        </w:rPr>
        <w:t>technology</w:t>
      </w:r>
      <w:r w:rsidR="00CB4E23" w:rsidRPr="000D3AA3">
        <w:rPr>
          <w:rFonts w:cs="Times New Roman"/>
          <w:color w:val="000000"/>
          <w:sz w:val="24"/>
          <w:szCs w:val="24"/>
        </w:rPr>
        <w:t>, electricity grid and transmission basics</w:t>
      </w:r>
      <w:r w:rsidRPr="000D3AA3">
        <w:rPr>
          <w:rFonts w:cs="Times New Roman"/>
          <w:color w:val="000000"/>
          <w:sz w:val="24"/>
          <w:szCs w:val="24"/>
        </w:rPr>
        <w:t xml:space="preserve">, costs, </w:t>
      </w:r>
      <w:r w:rsidR="00CB4E23" w:rsidRPr="000D3AA3">
        <w:rPr>
          <w:rFonts w:cs="Times New Roman"/>
          <w:color w:val="000000"/>
          <w:sz w:val="24"/>
          <w:szCs w:val="24"/>
        </w:rPr>
        <w:t>project implementation issues</w:t>
      </w:r>
      <w:r w:rsidR="00615101">
        <w:rPr>
          <w:rFonts w:cs="Times New Roman"/>
          <w:color w:val="000000"/>
          <w:sz w:val="24"/>
          <w:szCs w:val="24"/>
        </w:rPr>
        <w:t>,</w:t>
      </w:r>
      <w:r w:rsidR="00CB4E23" w:rsidRPr="000D3AA3">
        <w:rPr>
          <w:rFonts w:cs="Times New Roman"/>
          <w:color w:val="000000"/>
          <w:sz w:val="24"/>
          <w:szCs w:val="24"/>
        </w:rPr>
        <w:t xml:space="preserve"> </w:t>
      </w:r>
      <w:r w:rsidRPr="000D3AA3">
        <w:rPr>
          <w:rFonts w:cs="Times New Roman"/>
          <w:color w:val="000000"/>
          <w:sz w:val="24"/>
          <w:szCs w:val="24"/>
        </w:rPr>
        <w:t>and case studies.</w:t>
      </w:r>
      <w:r w:rsidR="005E083D" w:rsidRPr="000D3AA3">
        <w:rPr>
          <w:rFonts w:cs="Times New Roman"/>
          <w:color w:val="000000"/>
          <w:sz w:val="24"/>
          <w:szCs w:val="24"/>
        </w:rPr>
        <w:t xml:space="preserve"> </w:t>
      </w:r>
    </w:p>
    <w:p w:rsidR="004D2CF2" w:rsidRPr="000D3AA3" w:rsidRDefault="004D2CF2" w:rsidP="009D7777">
      <w:pPr>
        <w:pStyle w:val="NoSpacing"/>
        <w:rPr>
          <w:rFonts w:cs="Times New Roman"/>
          <w:color w:val="000000"/>
          <w:sz w:val="24"/>
          <w:szCs w:val="24"/>
        </w:rPr>
      </w:pPr>
    </w:p>
    <w:p w:rsidR="004D2CF2" w:rsidRPr="000D3AA3" w:rsidRDefault="004D2CF2" w:rsidP="009D7777">
      <w:pPr>
        <w:pStyle w:val="NoSpacing"/>
        <w:rPr>
          <w:rFonts w:cs="Times New Roman"/>
          <w:b/>
          <w:sz w:val="24"/>
          <w:szCs w:val="24"/>
        </w:rPr>
      </w:pPr>
      <w:r w:rsidRPr="000D3AA3">
        <w:rPr>
          <w:rFonts w:cs="Times New Roman"/>
          <w:b/>
          <w:sz w:val="24"/>
          <w:szCs w:val="24"/>
        </w:rPr>
        <w:t>Training Opportunities</w:t>
      </w:r>
    </w:p>
    <w:p w:rsidR="003F24AE" w:rsidRDefault="002728BD" w:rsidP="003F24AE">
      <w:pPr>
        <w:pStyle w:val="NoSpacing"/>
        <w:rPr>
          <w:rFonts w:cs="Times New Roman"/>
          <w:sz w:val="24"/>
          <w:szCs w:val="24"/>
        </w:rPr>
      </w:pPr>
      <w:r>
        <w:rPr>
          <w:rFonts w:cs="Times New Roman"/>
          <w:sz w:val="24"/>
          <w:szCs w:val="24"/>
        </w:rPr>
        <w:t>DOE</w:t>
      </w:r>
      <w:r w:rsidR="0073773B" w:rsidRPr="000D3AA3">
        <w:rPr>
          <w:rFonts w:cs="Times New Roman"/>
          <w:sz w:val="24"/>
          <w:szCs w:val="24"/>
        </w:rPr>
        <w:t xml:space="preserve"> offers numerous training opportunities, including the National Training and Education Resource (NTER), an open source platform that serves learners by allowing them to acquire new skills at a time, place</w:t>
      </w:r>
      <w:r w:rsidR="00615101">
        <w:rPr>
          <w:rFonts w:cs="Times New Roman"/>
          <w:sz w:val="24"/>
          <w:szCs w:val="24"/>
        </w:rPr>
        <w:t>,</w:t>
      </w:r>
      <w:r w:rsidR="0073773B" w:rsidRPr="000D3AA3">
        <w:rPr>
          <w:rFonts w:cs="Times New Roman"/>
          <w:sz w:val="24"/>
          <w:szCs w:val="24"/>
        </w:rPr>
        <w:t xml:space="preserve"> and pace that is convenient to them. </w:t>
      </w:r>
      <w:r w:rsidR="003F24AE" w:rsidRPr="003F24AE">
        <w:rPr>
          <w:rFonts w:cs="Times New Roman"/>
          <w:sz w:val="24"/>
          <w:szCs w:val="24"/>
        </w:rPr>
        <w:t xml:space="preserve"> NTER’s tools integrate advanced technology, simulation-based learning, and findings from learning science to accelerate learning and enable the under or unemployed to obtain training for the career they </w:t>
      </w:r>
      <w:r w:rsidR="003F24AE" w:rsidRPr="003F24AE">
        <w:rPr>
          <w:rFonts w:cs="Times New Roman"/>
          <w:sz w:val="24"/>
          <w:szCs w:val="24"/>
        </w:rPr>
        <w:lastRenderedPageBreak/>
        <w:t xml:space="preserve">seek.   This highly interactive training portal enhances and/or augments training and workforce development conducted across the country.  The multi-media, interactive, self-paced training modules are designed to help meet the needs of the diverse 21st century workforce.  </w:t>
      </w:r>
    </w:p>
    <w:p w:rsidR="003F24AE" w:rsidRDefault="003F24AE" w:rsidP="003F24AE">
      <w:pPr>
        <w:pStyle w:val="NoSpacing"/>
        <w:rPr>
          <w:rFonts w:cs="Times New Roman"/>
          <w:sz w:val="24"/>
          <w:szCs w:val="24"/>
        </w:rPr>
      </w:pPr>
    </w:p>
    <w:p w:rsidR="003F24AE" w:rsidRPr="003F24AE" w:rsidRDefault="003F24AE" w:rsidP="003F24AE">
      <w:pPr>
        <w:pStyle w:val="NoSpacing"/>
        <w:rPr>
          <w:rFonts w:cs="Times New Roman"/>
          <w:sz w:val="24"/>
          <w:szCs w:val="24"/>
        </w:rPr>
      </w:pPr>
      <w:r w:rsidRPr="003F24AE">
        <w:rPr>
          <w:rFonts w:cs="Times New Roman"/>
          <w:sz w:val="24"/>
          <w:szCs w:val="24"/>
        </w:rPr>
        <w:t xml:space="preserve">NTER is now being used widely by </w:t>
      </w:r>
      <w:r>
        <w:rPr>
          <w:rFonts w:cs="Times New Roman"/>
          <w:sz w:val="24"/>
          <w:szCs w:val="24"/>
        </w:rPr>
        <w:t>EERE</w:t>
      </w:r>
      <w:r w:rsidRPr="003F24AE">
        <w:rPr>
          <w:rFonts w:cs="Times New Roman"/>
          <w:sz w:val="24"/>
          <w:szCs w:val="24"/>
        </w:rPr>
        <w:t xml:space="preserve"> programs (</w:t>
      </w:r>
      <w:r>
        <w:rPr>
          <w:rFonts w:cs="Times New Roman"/>
          <w:sz w:val="24"/>
          <w:szCs w:val="24"/>
        </w:rPr>
        <w:t xml:space="preserve">including, </w:t>
      </w:r>
      <w:r w:rsidRPr="003F24AE">
        <w:rPr>
          <w:rFonts w:cs="Times New Roman"/>
          <w:sz w:val="24"/>
          <w:szCs w:val="24"/>
        </w:rPr>
        <w:t>for example</w:t>
      </w:r>
      <w:r>
        <w:rPr>
          <w:rFonts w:cs="Times New Roman"/>
          <w:sz w:val="24"/>
          <w:szCs w:val="24"/>
        </w:rPr>
        <w:t>,</w:t>
      </w:r>
      <w:r w:rsidRPr="003F24AE">
        <w:rPr>
          <w:rFonts w:cs="Times New Roman"/>
          <w:sz w:val="24"/>
          <w:szCs w:val="24"/>
        </w:rPr>
        <w:t xml:space="preserve"> Solar, Vehicles, Building Technology Program, Advanced Manufacturing/Industrial Technologies Program, </w:t>
      </w:r>
      <w:proofErr w:type="gramStart"/>
      <w:r w:rsidRPr="003F24AE">
        <w:rPr>
          <w:rFonts w:cs="Times New Roman"/>
          <w:sz w:val="24"/>
          <w:szCs w:val="24"/>
        </w:rPr>
        <w:t>FEMP</w:t>
      </w:r>
      <w:proofErr w:type="gramEnd"/>
      <w:r w:rsidRPr="003F24AE">
        <w:rPr>
          <w:rFonts w:cs="Times New Roman"/>
          <w:sz w:val="24"/>
          <w:szCs w:val="24"/>
        </w:rPr>
        <w:t>) and across DOE (Office of Electricity, Heath, Safety and Security) and several of the National Labs including Lawrence Berk</w:t>
      </w:r>
      <w:r w:rsidR="002728BD">
        <w:rPr>
          <w:rFonts w:cs="Times New Roman"/>
          <w:sz w:val="24"/>
          <w:szCs w:val="24"/>
        </w:rPr>
        <w:t>e</w:t>
      </w:r>
      <w:r w:rsidRPr="003F24AE">
        <w:rPr>
          <w:rFonts w:cs="Times New Roman"/>
          <w:sz w:val="24"/>
          <w:szCs w:val="24"/>
        </w:rPr>
        <w:t xml:space="preserve">ley National Lab, the National Renewable Energy Lab, Pacific Northwest National Lab. </w:t>
      </w:r>
    </w:p>
    <w:p w:rsidR="003F24AE" w:rsidRPr="003F24AE" w:rsidRDefault="003F24AE" w:rsidP="003F24AE">
      <w:pPr>
        <w:pStyle w:val="NoSpacing"/>
        <w:rPr>
          <w:rFonts w:cs="Times New Roman"/>
          <w:sz w:val="24"/>
          <w:szCs w:val="24"/>
        </w:rPr>
      </w:pPr>
    </w:p>
    <w:p w:rsidR="0073773B" w:rsidRPr="003F24AE" w:rsidRDefault="003F24AE" w:rsidP="003F24AE">
      <w:pPr>
        <w:pStyle w:val="NoSpacing"/>
        <w:rPr>
          <w:rFonts w:cs="Times New Roman"/>
          <w:b/>
          <w:sz w:val="24"/>
          <w:szCs w:val="24"/>
        </w:rPr>
      </w:pPr>
      <w:r w:rsidRPr="003F24AE">
        <w:rPr>
          <w:rFonts w:cs="Times New Roman"/>
          <w:sz w:val="24"/>
          <w:szCs w:val="24"/>
        </w:rPr>
        <w:t xml:space="preserve">The Federal CIO included NTER in his annual report to the nation as an innovative cloud computing initiative.  It was also included in </w:t>
      </w:r>
      <w:r w:rsidR="003B2FF4">
        <w:rPr>
          <w:rFonts w:cs="Times New Roman"/>
          <w:sz w:val="24"/>
          <w:szCs w:val="24"/>
        </w:rPr>
        <w:t>the</w:t>
      </w:r>
      <w:r w:rsidRPr="003F24AE">
        <w:rPr>
          <w:rFonts w:cs="Times New Roman"/>
          <w:sz w:val="24"/>
          <w:szCs w:val="24"/>
        </w:rPr>
        <w:t xml:space="preserve"> Advanced Manufacturing Partnership announcement. NTER is the platform that the National Association of Manufacturer's Manufacturing Institute, Macomb Community College, the Center for Energy Workforce Development’s Troops to Energy Jobs Initiative, and many more have agreed to use for creating and distributing training. </w:t>
      </w:r>
    </w:p>
    <w:p w:rsidR="0073773B" w:rsidRPr="000D3AA3" w:rsidRDefault="0073773B" w:rsidP="009D7777">
      <w:pPr>
        <w:pStyle w:val="NoSpacing"/>
        <w:rPr>
          <w:rFonts w:cs="Times New Roman"/>
          <w:b/>
          <w:sz w:val="24"/>
          <w:szCs w:val="24"/>
        </w:rPr>
      </w:pPr>
    </w:p>
    <w:p w:rsidR="0096680F" w:rsidRDefault="00147F60" w:rsidP="009D7777">
      <w:pPr>
        <w:pStyle w:val="NoSpacing"/>
        <w:rPr>
          <w:rFonts w:cs="Times New Roman"/>
          <w:b/>
          <w:sz w:val="24"/>
          <w:szCs w:val="24"/>
        </w:rPr>
      </w:pPr>
      <w:r w:rsidRPr="000D3AA3">
        <w:rPr>
          <w:rFonts w:cs="Times New Roman"/>
          <w:b/>
          <w:sz w:val="24"/>
          <w:szCs w:val="24"/>
        </w:rPr>
        <w:t xml:space="preserve">NREL </w:t>
      </w:r>
      <w:r w:rsidR="008A48F5" w:rsidRPr="000D3AA3">
        <w:rPr>
          <w:rFonts w:cs="Times New Roman"/>
          <w:b/>
          <w:sz w:val="24"/>
          <w:szCs w:val="24"/>
        </w:rPr>
        <w:t xml:space="preserve">and ANL </w:t>
      </w:r>
      <w:r w:rsidRPr="000D3AA3">
        <w:rPr>
          <w:rFonts w:cs="Times New Roman"/>
          <w:b/>
          <w:sz w:val="24"/>
          <w:szCs w:val="24"/>
        </w:rPr>
        <w:t xml:space="preserve">Trainings </w:t>
      </w:r>
      <w:r w:rsidR="008A48F5" w:rsidRPr="000D3AA3">
        <w:rPr>
          <w:rFonts w:cs="Times New Roman"/>
          <w:b/>
          <w:sz w:val="24"/>
          <w:szCs w:val="24"/>
        </w:rPr>
        <w:t xml:space="preserve">for Federal, State and Local Agencies, Tribes, and Industry </w:t>
      </w:r>
      <w:r w:rsidRPr="000D3AA3">
        <w:rPr>
          <w:rFonts w:cs="Times New Roman"/>
          <w:b/>
          <w:sz w:val="24"/>
          <w:szCs w:val="24"/>
        </w:rPr>
        <w:t>Related to Renewable Energy and Transmission</w:t>
      </w:r>
    </w:p>
    <w:p w:rsidR="002728BD" w:rsidRDefault="003B2FF4" w:rsidP="009D7777">
      <w:pPr>
        <w:pStyle w:val="NoSpacing"/>
        <w:rPr>
          <w:rFonts w:cs="Times New Roman"/>
          <w:sz w:val="24"/>
          <w:szCs w:val="24"/>
        </w:rPr>
      </w:pPr>
      <w:r>
        <w:rPr>
          <w:rFonts w:cs="Times New Roman"/>
          <w:sz w:val="24"/>
          <w:szCs w:val="24"/>
        </w:rPr>
        <w:t>T</w:t>
      </w:r>
      <w:r w:rsidR="00B84624">
        <w:rPr>
          <w:rFonts w:cs="Times New Roman"/>
          <w:sz w:val="24"/>
          <w:szCs w:val="24"/>
        </w:rPr>
        <w:t xml:space="preserve">he National Renewable Energy Laboratory and Argonne National Laboratory </w:t>
      </w:r>
      <w:r>
        <w:rPr>
          <w:rFonts w:cs="Times New Roman"/>
          <w:sz w:val="24"/>
          <w:szCs w:val="24"/>
        </w:rPr>
        <w:t>have</w:t>
      </w:r>
      <w:r w:rsidR="00B84624">
        <w:rPr>
          <w:rFonts w:cs="Times New Roman"/>
          <w:sz w:val="24"/>
          <w:szCs w:val="24"/>
        </w:rPr>
        <w:t xml:space="preserve"> conduct</w:t>
      </w:r>
      <w:r>
        <w:rPr>
          <w:rFonts w:cs="Times New Roman"/>
          <w:sz w:val="24"/>
          <w:szCs w:val="24"/>
        </w:rPr>
        <w:t>ed</w:t>
      </w:r>
      <w:r w:rsidR="00B84624">
        <w:rPr>
          <w:rFonts w:cs="Times New Roman"/>
          <w:sz w:val="24"/>
          <w:szCs w:val="24"/>
        </w:rPr>
        <w:t xml:space="preserve"> trainings and workshops on transmission and renewable energy technology, including wind and solar, for federal, state and local regulatory and permitting agencies, Tribes, and industry.  These trainings have included basic trainings </w:t>
      </w:r>
      <w:r w:rsidR="00152AE3">
        <w:rPr>
          <w:rFonts w:cs="Times New Roman"/>
          <w:sz w:val="24"/>
          <w:szCs w:val="24"/>
        </w:rPr>
        <w:t xml:space="preserve">regarding </w:t>
      </w:r>
      <w:r w:rsidR="00B84624" w:rsidRPr="00B84624">
        <w:rPr>
          <w:rFonts w:cs="Times New Roman"/>
          <w:sz w:val="24"/>
          <w:szCs w:val="24"/>
        </w:rPr>
        <w:t xml:space="preserve">the technologies, the project development process and the constraints it imposes, and the state of knowledge associated with </w:t>
      </w:r>
      <w:r w:rsidR="00B84624">
        <w:rPr>
          <w:rFonts w:cs="Times New Roman"/>
          <w:sz w:val="24"/>
          <w:szCs w:val="24"/>
        </w:rPr>
        <w:t xml:space="preserve">certain technologies </w:t>
      </w:r>
      <w:r w:rsidR="00B84624" w:rsidRPr="00B84624">
        <w:rPr>
          <w:rFonts w:cs="Times New Roman"/>
          <w:sz w:val="24"/>
          <w:szCs w:val="24"/>
        </w:rPr>
        <w:t>impacts on protected resources</w:t>
      </w:r>
      <w:r w:rsidR="00B84624">
        <w:rPr>
          <w:rFonts w:cs="Times New Roman"/>
          <w:sz w:val="24"/>
          <w:szCs w:val="24"/>
        </w:rPr>
        <w:t>.</w:t>
      </w:r>
    </w:p>
    <w:p w:rsidR="00441553" w:rsidRDefault="00441553" w:rsidP="009D7777">
      <w:pPr>
        <w:pStyle w:val="NoSpacing"/>
        <w:rPr>
          <w:rFonts w:cs="Times New Roman"/>
          <w:sz w:val="24"/>
          <w:szCs w:val="24"/>
        </w:rPr>
      </w:pPr>
    </w:p>
    <w:p w:rsidR="00550625" w:rsidRPr="00550625" w:rsidRDefault="00550625" w:rsidP="00550625">
      <w:pPr>
        <w:spacing w:after="0" w:line="240" w:lineRule="auto"/>
        <w:rPr>
          <w:rFonts w:eastAsia="Times New Roman" w:cs="Times New Roman"/>
          <w:b/>
          <w:sz w:val="24"/>
          <w:szCs w:val="24"/>
        </w:rPr>
      </w:pPr>
      <w:r w:rsidRPr="00550625">
        <w:rPr>
          <w:rFonts w:eastAsia="Times New Roman" w:cs="Times New Roman"/>
          <w:b/>
          <w:sz w:val="24"/>
          <w:szCs w:val="24"/>
        </w:rPr>
        <w:t>Geothermal Technologies Program Developers’ Permitting Checklist</w:t>
      </w:r>
    </w:p>
    <w:p w:rsidR="00112B2B" w:rsidRPr="000D3AA3" w:rsidRDefault="00112B2B" w:rsidP="009D7777">
      <w:pPr>
        <w:spacing w:line="240" w:lineRule="auto"/>
        <w:rPr>
          <w:rFonts w:cs="Times New Roman"/>
          <w:sz w:val="24"/>
          <w:szCs w:val="24"/>
        </w:rPr>
      </w:pPr>
      <w:r w:rsidRPr="000D3AA3">
        <w:rPr>
          <w:rFonts w:cs="Times New Roman"/>
          <w:sz w:val="24"/>
          <w:szCs w:val="24"/>
        </w:rPr>
        <w:t>Geothermal industry stakeholders have identified the permitting process as one of the most significant barriers to geothermal power project development.   Potential bottlenecks in the permitting process increase the cost and financial risk of a project. EERE therefore has developed a developers’ checklist which provides information on permitting requirements that need to be followed when developing a geothermal resource.  All steps in the permitting process are covered</w:t>
      </w:r>
      <w:r w:rsidR="009E16DA">
        <w:rPr>
          <w:rFonts w:cs="Times New Roman"/>
          <w:sz w:val="24"/>
          <w:szCs w:val="24"/>
        </w:rPr>
        <w:t>,</w:t>
      </w:r>
      <w:r w:rsidRPr="000D3AA3">
        <w:rPr>
          <w:rFonts w:cs="Times New Roman"/>
          <w:sz w:val="24"/>
          <w:szCs w:val="24"/>
        </w:rPr>
        <w:t xml:space="preserve"> from drilling exploratory wells to developing a utility-grade geothermal power plant.  Users can obtain additional information for developing geothermal projects on federal or state lands, obtain agency contact information, and find links to key policies and additional resources for project development in eight western states</w:t>
      </w:r>
      <w:r w:rsidR="009E16DA">
        <w:rPr>
          <w:rFonts w:cs="Times New Roman"/>
          <w:sz w:val="24"/>
          <w:szCs w:val="24"/>
        </w:rPr>
        <w:t xml:space="preserve">, which are </w:t>
      </w:r>
      <w:r w:rsidRPr="000D3AA3">
        <w:rPr>
          <w:rFonts w:cs="Times New Roman"/>
          <w:sz w:val="24"/>
          <w:szCs w:val="24"/>
        </w:rPr>
        <w:t>those</w:t>
      </w:r>
      <w:r w:rsidR="009E16DA">
        <w:rPr>
          <w:rFonts w:cs="Times New Roman"/>
          <w:sz w:val="24"/>
          <w:szCs w:val="24"/>
        </w:rPr>
        <w:t xml:space="preserve"> states</w:t>
      </w:r>
      <w:r w:rsidRPr="000D3AA3">
        <w:rPr>
          <w:rFonts w:cs="Times New Roman"/>
          <w:sz w:val="24"/>
          <w:szCs w:val="24"/>
        </w:rPr>
        <w:t xml:space="preserve"> with the highest currently installed geothermal capacity.</w:t>
      </w:r>
      <w:r w:rsidR="00441553">
        <w:rPr>
          <w:rFonts w:cs="Times New Roman"/>
          <w:sz w:val="24"/>
          <w:szCs w:val="24"/>
        </w:rPr>
        <w:t xml:space="preserve"> The checklist can be found at </w:t>
      </w:r>
      <w:hyperlink r:id="rId16" w:history="1">
        <w:r w:rsidR="00441553" w:rsidRPr="00C6158D">
          <w:rPr>
            <w:rStyle w:val="Hyperlink"/>
            <w:rFonts w:cs="Times New Roman"/>
            <w:sz w:val="24"/>
            <w:szCs w:val="24"/>
          </w:rPr>
          <w:t>http://www.nrel.gov/geothermal/developer_checklist/</w:t>
        </w:r>
      </w:hyperlink>
      <w:r w:rsidR="00441553">
        <w:rPr>
          <w:rFonts w:cs="Times New Roman"/>
          <w:sz w:val="24"/>
          <w:szCs w:val="24"/>
        </w:rPr>
        <w:t xml:space="preserve">. </w:t>
      </w:r>
    </w:p>
    <w:p w:rsidR="004D2CF2" w:rsidRPr="000D3AA3" w:rsidRDefault="00FA6CD1" w:rsidP="009D7777">
      <w:pPr>
        <w:spacing w:after="0" w:line="240" w:lineRule="auto"/>
        <w:rPr>
          <w:rFonts w:eastAsia="Times New Roman" w:cs="Times New Roman"/>
          <w:b/>
          <w:sz w:val="24"/>
          <w:szCs w:val="24"/>
        </w:rPr>
      </w:pPr>
      <w:proofErr w:type="spellStart"/>
      <w:r w:rsidRPr="000D3AA3">
        <w:rPr>
          <w:rFonts w:eastAsia="Times New Roman" w:cs="Times New Roman"/>
          <w:b/>
          <w:sz w:val="24"/>
          <w:szCs w:val="24"/>
        </w:rPr>
        <w:t>Siting</w:t>
      </w:r>
      <w:proofErr w:type="spellEnd"/>
      <w:r w:rsidRPr="000D3AA3">
        <w:rPr>
          <w:rFonts w:eastAsia="Times New Roman" w:cs="Times New Roman"/>
          <w:b/>
          <w:sz w:val="24"/>
          <w:szCs w:val="24"/>
        </w:rPr>
        <w:t xml:space="preserve"> Methodologies for Hydrokinetics: Navigating the Regulatory Framework</w:t>
      </w:r>
      <w:r w:rsidR="003C0D1A" w:rsidRPr="000D3AA3">
        <w:rPr>
          <w:rFonts w:eastAsia="Times New Roman" w:cs="Times New Roman"/>
          <w:b/>
          <w:sz w:val="24"/>
          <w:szCs w:val="24"/>
        </w:rPr>
        <w:t xml:space="preserve"> </w:t>
      </w:r>
    </w:p>
    <w:p w:rsidR="004D2CF2" w:rsidRPr="000D3AA3" w:rsidRDefault="004C6EEA" w:rsidP="009D7777">
      <w:pPr>
        <w:spacing w:line="240" w:lineRule="auto"/>
        <w:rPr>
          <w:rStyle w:val="Hyperlink"/>
          <w:rFonts w:eastAsia="Times New Roman" w:cs="Times New Roman"/>
          <w:sz w:val="24"/>
          <w:szCs w:val="24"/>
        </w:rPr>
      </w:pPr>
      <w:r w:rsidRPr="000D3AA3">
        <w:rPr>
          <w:sz w:val="24"/>
          <w:szCs w:val="24"/>
        </w:rPr>
        <w:t xml:space="preserve">EERE developed a regulatory and permitting handbook for developers of Marine Hydrokinetic projects.  The DOE Wind and Water Power Program funded Pacific Energy Ventures to develop a </w:t>
      </w:r>
      <w:proofErr w:type="spellStart"/>
      <w:r w:rsidRPr="000D3AA3">
        <w:rPr>
          <w:i/>
          <w:iCs/>
          <w:sz w:val="24"/>
          <w:szCs w:val="24"/>
        </w:rPr>
        <w:t>Siting</w:t>
      </w:r>
      <w:proofErr w:type="spellEnd"/>
      <w:r w:rsidRPr="000D3AA3">
        <w:rPr>
          <w:i/>
          <w:iCs/>
          <w:sz w:val="24"/>
          <w:szCs w:val="24"/>
        </w:rPr>
        <w:t xml:space="preserve"> Methodologies </w:t>
      </w:r>
      <w:r w:rsidRPr="000D3AA3">
        <w:rPr>
          <w:sz w:val="24"/>
          <w:szCs w:val="24"/>
        </w:rPr>
        <w:t xml:space="preserve">handbook that identifies regulatory issues associated with hydrokinetic development. A primary goal of this project is to help prepare hydrokinetic developers and </w:t>
      </w:r>
      <w:r w:rsidRPr="000D3AA3">
        <w:rPr>
          <w:sz w:val="24"/>
          <w:szCs w:val="24"/>
        </w:rPr>
        <w:lastRenderedPageBreak/>
        <w:t xml:space="preserve">stakeholders to work with regulatory officials to chart a reasonable course through the permitting process. To that end, the handbook is intended as an informational tool to support stakeholders in navigating the regulatory framework by outlining the current federal and state regulatory requirements, providing clear, concise descriptions of the authorization processes, and identifying the agencies involved in these processes.  The completed handbook is now available </w:t>
      </w:r>
      <w:hyperlink r:id="rId17" w:history="1">
        <w:r w:rsidR="004D2CF2" w:rsidRPr="000D3AA3">
          <w:rPr>
            <w:rStyle w:val="Hyperlink"/>
            <w:sz w:val="24"/>
            <w:szCs w:val="24"/>
          </w:rPr>
          <w:t>online</w:t>
        </w:r>
      </w:hyperlink>
      <w:r w:rsidR="004D2CF2" w:rsidRPr="000D3AA3">
        <w:rPr>
          <w:sz w:val="24"/>
          <w:szCs w:val="24"/>
        </w:rPr>
        <w:t>.</w:t>
      </w:r>
    </w:p>
    <w:p w:rsidR="004D2CF2" w:rsidRPr="000D3AA3" w:rsidRDefault="0074148B" w:rsidP="009D7777">
      <w:pPr>
        <w:pStyle w:val="Heading2"/>
        <w:spacing w:line="240" w:lineRule="auto"/>
        <w:rPr>
          <w:rFonts w:asciiTheme="minorHAnsi" w:hAnsiTheme="minorHAnsi" w:cs="Times New Roman"/>
          <w:b w:val="0"/>
          <w:color w:val="000000" w:themeColor="text1"/>
          <w:sz w:val="24"/>
          <w:szCs w:val="24"/>
        </w:rPr>
      </w:pPr>
      <w:r w:rsidRPr="000D3AA3">
        <w:rPr>
          <w:rFonts w:asciiTheme="minorHAnsi" w:eastAsia="Times New Roman" w:hAnsiTheme="minorHAnsi" w:cs="Times New Roman"/>
          <w:bCs w:val="0"/>
          <w:color w:val="auto"/>
          <w:sz w:val="24"/>
          <w:szCs w:val="24"/>
        </w:rPr>
        <w:t>Hawaii Clean Energy Initiative</w:t>
      </w:r>
    </w:p>
    <w:p w:rsidR="00550625" w:rsidRDefault="000E4C7B" w:rsidP="00550625">
      <w:pPr>
        <w:pStyle w:val="Heading2"/>
        <w:spacing w:before="0" w:line="240" w:lineRule="auto"/>
      </w:pPr>
      <w:r w:rsidRPr="000D3AA3">
        <w:rPr>
          <w:rFonts w:asciiTheme="minorHAnsi" w:hAnsiTheme="minorHAnsi" w:cs="Times New Roman"/>
          <w:b w:val="0"/>
          <w:color w:val="000000" w:themeColor="text1"/>
          <w:sz w:val="24"/>
          <w:szCs w:val="24"/>
        </w:rPr>
        <w:t xml:space="preserve">Hawaii’s dependence on imported oil creates vulnerability for the state’s economy which is greatly affected by the price volatility of this finite energy source. Recognizing the detrimental effects this oil dependency has on Hawaii’s environment and local economy, the state signed a </w:t>
      </w:r>
      <w:r w:rsidR="004418D5">
        <w:rPr>
          <w:rFonts w:asciiTheme="minorHAnsi" w:hAnsiTheme="minorHAnsi" w:cs="Times New Roman"/>
          <w:b w:val="0"/>
          <w:color w:val="000000" w:themeColor="text1"/>
          <w:sz w:val="24"/>
          <w:szCs w:val="24"/>
        </w:rPr>
        <w:t>MOU</w:t>
      </w:r>
      <w:r w:rsidRPr="000D3AA3">
        <w:rPr>
          <w:rFonts w:asciiTheme="minorHAnsi" w:hAnsiTheme="minorHAnsi" w:cs="Times New Roman"/>
          <w:b w:val="0"/>
          <w:color w:val="000000" w:themeColor="text1"/>
          <w:sz w:val="24"/>
          <w:szCs w:val="24"/>
        </w:rPr>
        <w:t xml:space="preserve"> with </w:t>
      </w:r>
      <w:r w:rsidR="009E16DA" w:rsidRPr="000D3AA3">
        <w:rPr>
          <w:rFonts w:asciiTheme="minorHAnsi" w:hAnsiTheme="minorHAnsi" w:cs="Times New Roman"/>
          <w:b w:val="0"/>
          <w:color w:val="000000" w:themeColor="text1"/>
          <w:sz w:val="24"/>
          <w:szCs w:val="24"/>
        </w:rPr>
        <w:t>DOE in January 2008</w:t>
      </w:r>
      <w:r w:rsidR="009E16DA">
        <w:rPr>
          <w:rFonts w:asciiTheme="minorHAnsi" w:hAnsiTheme="minorHAnsi" w:cs="Times New Roman"/>
          <w:b w:val="0"/>
          <w:color w:val="000000" w:themeColor="text1"/>
          <w:sz w:val="24"/>
          <w:szCs w:val="24"/>
        </w:rPr>
        <w:t xml:space="preserve"> to</w:t>
      </w:r>
      <w:r w:rsidR="009E16DA" w:rsidRPr="000D3AA3">
        <w:rPr>
          <w:rFonts w:asciiTheme="minorHAnsi" w:hAnsiTheme="minorHAnsi" w:cs="Times New Roman"/>
          <w:b w:val="0"/>
          <w:color w:val="000000" w:themeColor="text1"/>
          <w:sz w:val="24"/>
          <w:szCs w:val="24"/>
        </w:rPr>
        <w:t xml:space="preserve"> establish</w:t>
      </w:r>
      <w:r w:rsidR="009E16DA">
        <w:rPr>
          <w:rFonts w:asciiTheme="minorHAnsi" w:hAnsiTheme="minorHAnsi" w:cs="Times New Roman"/>
          <w:b w:val="0"/>
          <w:color w:val="000000" w:themeColor="text1"/>
          <w:sz w:val="24"/>
          <w:szCs w:val="24"/>
        </w:rPr>
        <w:t xml:space="preserve"> a long-term partnership, now known as the Hawaii Clean Energy Initiative (</w:t>
      </w:r>
      <w:r w:rsidR="009E16DA" w:rsidRPr="000D3AA3">
        <w:rPr>
          <w:rFonts w:asciiTheme="minorHAnsi" w:hAnsiTheme="minorHAnsi" w:cs="Times New Roman"/>
          <w:b w:val="0"/>
          <w:color w:val="000000" w:themeColor="text1"/>
          <w:sz w:val="24"/>
          <w:szCs w:val="24"/>
        </w:rPr>
        <w:t>HCEI</w:t>
      </w:r>
      <w:r w:rsidR="009E16DA">
        <w:rPr>
          <w:rFonts w:asciiTheme="minorHAnsi" w:hAnsiTheme="minorHAnsi" w:cs="Times New Roman"/>
          <w:b w:val="0"/>
          <w:color w:val="000000" w:themeColor="text1"/>
          <w:sz w:val="24"/>
          <w:szCs w:val="24"/>
        </w:rPr>
        <w:t>), to transform the way energy efficiency and renewable energy resources are planned and used in the state.</w:t>
      </w:r>
      <w:r w:rsidR="009E16DA" w:rsidRPr="000D3AA3">
        <w:rPr>
          <w:rFonts w:asciiTheme="minorHAnsi" w:hAnsiTheme="minorHAnsi" w:cs="Times New Roman"/>
          <w:b w:val="0"/>
          <w:color w:val="000000" w:themeColor="text1"/>
          <w:sz w:val="24"/>
          <w:szCs w:val="24"/>
        </w:rPr>
        <w:t xml:space="preserve">  </w:t>
      </w:r>
      <w:r w:rsidR="00C21F91" w:rsidRPr="000D3AA3">
        <w:rPr>
          <w:rFonts w:asciiTheme="minorHAnsi" w:hAnsiTheme="minorHAnsi" w:cs="Times New Roman"/>
          <w:b w:val="0"/>
          <w:color w:val="000000" w:themeColor="text1"/>
          <w:sz w:val="24"/>
          <w:szCs w:val="24"/>
        </w:rPr>
        <w:t xml:space="preserve"> Renewable energy stakeholders and developers identified Hawaii’s permitting process as an obstacle to capital investment in the sector.  Accordingly, as part of the HCEI initiative, DOE co-funded a suite of guidebooks to provide a comprehensive overview of the renewable energy permitting process in Hawaii</w:t>
      </w:r>
      <w:r w:rsidR="004D2CF2" w:rsidRPr="000D3AA3">
        <w:rPr>
          <w:rFonts w:asciiTheme="minorHAnsi" w:hAnsiTheme="minorHAnsi" w:cs="Times New Roman"/>
          <w:b w:val="0"/>
          <w:color w:val="000000" w:themeColor="text1"/>
          <w:sz w:val="24"/>
          <w:szCs w:val="24"/>
        </w:rPr>
        <w:t>.</w:t>
      </w:r>
    </w:p>
    <w:p w:rsidR="00267085" w:rsidRDefault="00267085" w:rsidP="005B5061">
      <w:pPr>
        <w:pStyle w:val="NoSpacing"/>
        <w:rPr>
          <w:rFonts w:cs="Times New Roman"/>
          <w:b/>
          <w:sz w:val="24"/>
          <w:szCs w:val="24"/>
        </w:rPr>
      </w:pPr>
    </w:p>
    <w:p w:rsidR="0096680F" w:rsidRPr="000D3AA3" w:rsidRDefault="0096680F" w:rsidP="005B5061">
      <w:pPr>
        <w:pStyle w:val="NoSpacing"/>
        <w:rPr>
          <w:rFonts w:cs="Times New Roman"/>
          <w:b/>
          <w:sz w:val="24"/>
          <w:szCs w:val="24"/>
        </w:rPr>
      </w:pPr>
      <w:r w:rsidRPr="000D3AA3">
        <w:rPr>
          <w:rFonts w:cs="Times New Roman"/>
          <w:b/>
          <w:sz w:val="24"/>
          <w:szCs w:val="24"/>
        </w:rPr>
        <w:t xml:space="preserve">DOE Request for </w:t>
      </w:r>
      <w:r w:rsidR="004418D5" w:rsidRPr="000D3AA3">
        <w:rPr>
          <w:rFonts w:cs="Times New Roman"/>
          <w:b/>
          <w:sz w:val="24"/>
          <w:szCs w:val="24"/>
        </w:rPr>
        <w:t>In</w:t>
      </w:r>
      <w:r w:rsidR="004418D5">
        <w:rPr>
          <w:rFonts w:cs="Times New Roman"/>
          <w:b/>
          <w:sz w:val="24"/>
          <w:szCs w:val="24"/>
        </w:rPr>
        <w:t>formation</w:t>
      </w:r>
      <w:r w:rsidR="004418D5" w:rsidRPr="000D3AA3">
        <w:rPr>
          <w:rFonts w:cs="Times New Roman"/>
          <w:b/>
          <w:sz w:val="24"/>
          <w:szCs w:val="24"/>
        </w:rPr>
        <w:t xml:space="preserve"> </w:t>
      </w:r>
      <w:r w:rsidRPr="000D3AA3">
        <w:rPr>
          <w:rFonts w:cs="Times New Roman"/>
          <w:b/>
          <w:sz w:val="24"/>
          <w:szCs w:val="24"/>
        </w:rPr>
        <w:t>on</w:t>
      </w:r>
      <w:r w:rsidR="005B5061">
        <w:rPr>
          <w:rFonts w:cs="Times New Roman"/>
          <w:b/>
          <w:sz w:val="24"/>
          <w:szCs w:val="24"/>
        </w:rPr>
        <w:t xml:space="preserve"> D</w:t>
      </w:r>
      <w:r w:rsidR="005B5061" w:rsidRPr="005B5061">
        <w:rPr>
          <w:rFonts w:cs="Times New Roman"/>
          <w:b/>
          <w:sz w:val="24"/>
          <w:szCs w:val="24"/>
        </w:rPr>
        <w:t>evelopment times for</w:t>
      </w:r>
      <w:r w:rsidR="005B5061">
        <w:rPr>
          <w:rFonts w:cs="Times New Roman"/>
          <w:b/>
          <w:sz w:val="24"/>
          <w:szCs w:val="24"/>
        </w:rPr>
        <w:t xml:space="preserve"> G</w:t>
      </w:r>
      <w:r w:rsidR="005B5061" w:rsidRPr="005B5061">
        <w:rPr>
          <w:rFonts w:cs="Times New Roman"/>
          <w:b/>
          <w:sz w:val="24"/>
          <w:szCs w:val="24"/>
        </w:rPr>
        <w:t xml:space="preserve">eneration and </w:t>
      </w:r>
      <w:r w:rsidR="005B5061">
        <w:rPr>
          <w:rFonts w:cs="Times New Roman"/>
          <w:b/>
          <w:sz w:val="24"/>
          <w:szCs w:val="24"/>
        </w:rPr>
        <w:t>T</w:t>
      </w:r>
      <w:r w:rsidR="005B5061" w:rsidRPr="005B5061">
        <w:rPr>
          <w:rFonts w:cs="Times New Roman"/>
          <w:b/>
          <w:sz w:val="24"/>
          <w:szCs w:val="24"/>
        </w:rPr>
        <w:t>ransmission</w:t>
      </w:r>
      <w:r w:rsidR="005B5061">
        <w:rPr>
          <w:rFonts w:cs="Times New Roman"/>
          <w:b/>
          <w:sz w:val="24"/>
          <w:szCs w:val="24"/>
        </w:rPr>
        <w:t xml:space="preserve"> and Permitting of Transmission Lines</w:t>
      </w:r>
    </w:p>
    <w:p w:rsidR="00147F60" w:rsidRPr="000D3AA3" w:rsidRDefault="0096680F" w:rsidP="009D7777">
      <w:pPr>
        <w:spacing w:line="240" w:lineRule="auto"/>
        <w:rPr>
          <w:rFonts w:cs="Times New Roman"/>
          <w:sz w:val="24"/>
          <w:szCs w:val="24"/>
        </w:rPr>
      </w:pPr>
      <w:r w:rsidRPr="000D3AA3">
        <w:rPr>
          <w:rFonts w:cs="Times New Roman"/>
          <w:sz w:val="24"/>
          <w:szCs w:val="24"/>
        </w:rPr>
        <w:t xml:space="preserve">On February 27, 2012, DOE issued a </w:t>
      </w:r>
      <w:hyperlink r:id="rId18" w:history="1">
        <w:r w:rsidRPr="000D3AA3">
          <w:rPr>
            <w:rStyle w:val="Hyperlink"/>
            <w:rFonts w:cs="Times New Roman"/>
            <w:sz w:val="24"/>
            <w:szCs w:val="24"/>
          </w:rPr>
          <w:t>Request for In</w:t>
        </w:r>
        <w:r w:rsidR="004418D5">
          <w:rPr>
            <w:rStyle w:val="Hyperlink"/>
            <w:rFonts w:cs="Times New Roman"/>
            <w:sz w:val="24"/>
            <w:szCs w:val="24"/>
          </w:rPr>
          <w:t>formation</w:t>
        </w:r>
      </w:hyperlink>
      <w:r w:rsidR="00615101">
        <w:t xml:space="preserve"> (RFI)</w:t>
      </w:r>
      <w:r w:rsidRPr="000D3AA3">
        <w:rPr>
          <w:rFonts w:cs="Times New Roman"/>
          <w:sz w:val="24"/>
          <w:szCs w:val="24"/>
        </w:rPr>
        <w:t xml:space="preserve">, which solicited public input on the challenges </w:t>
      </w:r>
      <w:r w:rsidR="00615101">
        <w:rPr>
          <w:rFonts w:cs="Times New Roman"/>
          <w:sz w:val="24"/>
          <w:szCs w:val="24"/>
        </w:rPr>
        <w:t>arising from</w:t>
      </w:r>
      <w:r w:rsidRPr="000D3AA3">
        <w:rPr>
          <w:rFonts w:cs="Times New Roman"/>
          <w:sz w:val="24"/>
          <w:szCs w:val="24"/>
        </w:rPr>
        <w:t xml:space="preserve"> incongruent development times between remote generation and attendant transmission and on potential efficiencies that might be achieved in order to make development times more commensurate. The comments on the RFI were received on March 28, 2012 and will be used, </w:t>
      </w:r>
      <w:r w:rsidR="00615101">
        <w:rPr>
          <w:rFonts w:cs="Times New Roman"/>
          <w:sz w:val="24"/>
          <w:szCs w:val="24"/>
        </w:rPr>
        <w:t>in conjunction</w:t>
      </w:r>
      <w:r w:rsidR="00615101" w:rsidRPr="000D3AA3">
        <w:rPr>
          <w:rFonts w:cs="Times New Roman"/>
          <w:sz w:val="24"/>
          <w:szCs w:val="24"/>
        </w:rPr>
        <w:t xml:space="preserve"> </w:t>
      </w:r>
      <w:r w:rsidRPr="000D3AA3">
        <w:rPr>
          <w:rFonts w:cs="Times New Roman"/>
          <w:sz w:val="24"/>
          <w:szCs w:val="24"/>
        </w:rPr>
        <w:t xml:space="preserve">with federal agencies' statutory and regulatory obligations, to inform a </w:t>
      </w:r>
      <w:r w:rsidR="00615101">
        <w:rPr>
          <w:rFonts w:cs="Times New Roman"/>
          <w:sz w:val="24"/>
          <w:szCs w:val="24"/>
        </w:rPr>
        <w:t>possible</w:t>
      </w:r>
      <w:r w:rsidR="00615101" w:rsidRPr="000D3AA3">
        <w:rPr>
          <w:rFonts w:cs="Times New Roman"/>
          <w:sz w:val="24"/>
          <w:szCs w:val="24"/>
        </w:rPr>
        <w:t xml:space="preserve"> </w:t>
      </w:r>
      <w:r w:rsidR="00615101">
        <w:rPr>
          <w:rFonts w:cs="Times New Roman"/>
          <w:sz w:val="24"/>
          <w:szCs w:val="24"/>
        </w:rPr>
        <w:t>p</w:t>
      </w:r>
      <w:r w:rsidR="00615101" w:rsidRPr="000D3AA3">
        <w:rPr>
          <w:rFonts w:cs="Times New Roman"/>
          <w:sz w:val="24"/>
          <w:szCs w:val="24"/>
        </w:rPr>
        <w:t xml:space="preserve">resumed </w:t>
      </w:r>
      <w:r w:rsidR="00615101">
        <w:rPr>
          <w:rFonts w:cs="Times New Roman"/>
          <w:sz w:val="24"/>
          <w:szCs w:val="24"/>
        </w:rPr>
        <w:t>e</w:t>
      </w:r>
      <w:r w:rsidR="00615101" w:rsidRPr="000D3AA3">
        <w:rPr>
          <w:rFonts w:cs="Times New Roman"/>
          <w:sz w:val="24"/>
          <w:szCs w:val="24"/>
        </w:rPr>
        <w:t xml:space="preserve">valuation </w:t>
      </w:r>
      <w:r w:rsidR="00615101">
        <w:rPr>
          <w:rFonts w:cs="Times New Roman"/>
          <w:sz w:val="24"/>
          <w:szCs w:val="24"/>
        </w:rPr>
        <w:t>p</w:t>
      </w:r>
      <w:r w:rsidR="00615101" w:rsidRPr="000D3AA3">
        <w:rPr>
          <w:rFonts w:cs="Times New Roman"/>
          <w:sz w:val="24"/>
          <w:szCs w:val="24"/>
        </w:rPr>
        <w:t xml:space="preserve">eriod </w:t>
      </w:r>
      <w:r w:rsidRPr="000D3AA3">
        <w:rPr>
          <w:rFonts w:cs="Times New Roman"/>
          <w:sz w:val="24"/>
          <w:szCs w:val="24"/>
        </w:rPr>
        <w:t>for transmission projects.</w:t>
      </w:r>
      <w:bookmarkStart w:id="1" w:name="_GoBack"/>
      <w:bookmarkEnd w:id="1"/>
    </w:p>
    <w:sectPr w:rsidR="00147F60" w:rsidRPr="000D3AA3" w:rsidSect="00D56FFB">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26" w:rsidRDefault="00493926" w:rsidP="00E1549A">
      <w:pPr>
        <w:spacing w:after="0" w:line="240" w:lineRule="auto"/>
      </w:pPr>
      <w:r>
        <w:separator/>
      </w:r>
    </w:p>
  </w:endnote>
  <w:endnote w:type="continuationSeparator" w:id="0">
    <w:p w:rsidR="00493926" w:rsidRDefault="00493926" w:rsidP="00E15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49001"/>
      <w:docPartObj>
        <w:docPartGallery w:val="Page Numbers (Bottom of Page)"/>
        <w:docPartUnique/>
      </w:docPartObj>
    </w:sdtPr>
    <w:sdtContent>
      <w:p w:rsidR="00493926" w:rsidRDefault="002A5A5F">
        <w:pPr>
          <w:pStyle w:val="Footer"/>
        </w:pPr>
        <w:fldSimple w:instr=" PAGE   \* MERGEFORMAT ">
          <w:r w:rsidR="00BA313F">
            <w:rPr>
              <w:noProof/>
            </w:rPr>
            <w:t>14</w:t>
          </w:r>
        </w:fldSimple>
      </w:p>
    </w:sdtContent>
  </w:sdt>
  <w:p w:rsidR="00493926" w:rsidRDefault="00493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26" w:rsidRDefault="00493926" w:rsidP="00E1549A">
      <w:pPr>
        <w:spacing w:after="0" w:line="240" w:lineRule="auto"/>
      </w:pPr>
      <w:r>
        <w:separator/>
      </w:r>
    </w:p>
  </w:footnote>
  <w:footnote w:type="continuationSeparator" w:id="0">
    <w:p w:rsidR="00493926" w:rsidRDefault="00493926" w:rsidP="00E1549A">
      <w:pPr>
        <w:spacing w:after="0" w:line="240" w:lineRule="auto"/>
      </w:pPr>
      <w:r>
        <w:continuationSeparator/>
      </w:r>
    </w:p>
  </w:footnote>
  <w:footnote w:id="1">
    <w:p w:rsidR="00493926" w:rsidRDefault="00493926" w:rsidP="00D84702">
      <w:pPr>
        <w:pStyle w:val="FootnoteText"/>
      </w:pPr>
      <w:r>
        <w:rPr>
          <w:rStyle w:val="FootnoteReference"/>
        </w:rPr>
        <w:footnoteRef/>
      </w:r>
      <w:r>
        <w:t xml:space="preserve"> The SPP/Southwestern Agreement also contains provisions that obligate </w:t>
      </w:r>
      <w:r>
        <w:rPr>
          <w:szCs w:val="24"/>
        </w:rPr>
        <w:t>SPP to provide services to Southwestern including, but not limited to, administration of the Southwestern Open Access Transmission Tariff, scheduling services, operating reserve sharing, Open Access Same-Time Information System administration, and reliability coordination.</w:t>
      </w:r>
    </w:p>
  </w:footnote>
  <w:footnote w:id="2">
    <w:p w:rsidR="00493926" w:rsidRDefault="00493926" w:rsidP="00D84702">
      <w:pPr>
        <w:pStyle w:val="FootnoteText"/>
      </w:pPr>
      <w:r>
        <w:rPr>
          <w:rStyle w:val="FootnoteReference"/>
        </w:rPr>
        <w:footnoteRef/>
      </w:r>
      <w:r>
        <w:t xml:space="preserve"> </w:t>
      </w:r>
      <w:proofErr w:type="spellStart"/>
      <w:r>
        <w:t>Southwestern’s</w:t>
      </w:r>
      <w:proofErr w:type="spellEnd"/>
      <w:r>
        <w:t xml:space="preserve"> FERC filed Open Access Transmission Tariff (</w:t>
      </w:r>
      <w:r w:rsidRPr="00CB50AA">
        <w:t>http://www.swpa.gov/PDFs/SWPAOpenAccessTariff.pdf</w:t>
      </w:r>
      <w:r>
        <w:t>)</w:t>
      </w:r>
    </w:p>
  </w:footnote>
  <w:footnote w:id="3">
    <w:p w:rsidR="00493926" w:rsidRDefault="00493926" w:rsidP="00550625">
      <w:r>
        <w:rPr>
          <w:rStyle w:val="FootnoteReference"/>
        </w:rPr>
        <w:footnoteRef/>
      </w:r>
      <w:r>
        <w:t xml:space="preserve"> </w:t>
      </w:r>
      <w:r w:rsidRPr="00370398">
        <w:rPr>
          <w:rFonts w:ascii="Calibri" w:eastAsia="Calibri" w:hAnsi="Calibri" w:cs="Times New Roman"/>
          <w:sz w:val="20"/>
          <w:szCs w:val="20"/>
        </w:rPr>
        <w:t>On October 1, 2011, BOEMRE, formerly the M</w:t>
      </w:r>
      <w:r>
        <w:rPr>
          <w:rFonts w:ascii="Calibri" w:eastAsia="Calibri" w:hAnsi="Calibri" w:cs="Times New Roman"/>
          <w:sz w:val="20"/>
          <w:szCs w:val="20"/>
        </w:rPr>
        <w:t>inerals Management Service</w:t>
      </w:r>
      <w:r w:rsidRPr="00370398">
        <w:rPr>
          <w:rFonts w:ascii="Calibri" w:eastAsia="Calibri" w:hAnsi="Calibri" w:cs="Times New Roman"/>
          <w:sz w:val="20"/>
          <w:szCs w:val="20"/>
        </w:rPr>
        <w:t>, was replaced by the Bureau o</w:t>
      </w:r>
      <w:r>
        <w:rPr>
          <w:rFonts w:ascii="Calibri" w:eastAsia="Calibri" w:hAnsi="Calibri" w:cs="Times New Roman"/>
          <w:sz w:val="20"/>
          <w:szCs w:val="20"/>
        </w:rPr>
        <w:t>f Ocean Energy Management</w:t>
      </w:r>
      <w:r w:rsidRPr="00370398">
        <w:rPr>
          <w:rFonts w:ascii="Calibri" w:eastAsia="Calibri" w:hAnsi="Calibri" w:cs="Times New Roman"/>
          <w:sz w:val="20"/>
          <w:szCs w:val="20"/>
        </w:rPr>
        <w:t xml:space="preserve"> and the Bureau of Safety and Environmental Enforcem</w:t>
      </w:r>
      <w:r>
        <w:rPr>
          <w:rFonts w:ascii="Calibri" w:eastAsia="Calibri" w:hAnsi="Calibri" w:cs="Times New Roman"/>
          <w:sz w:val="20"/>
          <w:szCs w:val="20"/>
        </w:rPr>
        <w:t>ent</w:t>
      </w:r>
      <w:r w:rsidRPr="00370398">
        <w:rPr>
          <w:rFonts w:ascii="Calibri" w:eastAsia="Calibri" w:hAnsi="Calibri" w:cs="Times New Roman"/>
          <w:sz w:val="20"/>
          <w:szCs w:val="20"/>
        </w:rPr>
        <w:t xml:space="preserve"> as </w:t>
      </w:r>
      <w:r>
        <w:rPr>
          <w:rFonts w:ascii="Calibri" w:eastAsia="Calibri" w:hAnsi="Calibri" w:cs="Times New Roman"/>
          <w:sz w:val="20"/>
          <w:szCs w:val="20"/>
        </w:rPr>
        <w:t>part of a major reorganization.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6" w:rsidRPr="001E1A11" w:rsidRDefault="00493926" w:rsidP="001E1A11">
    <w:pPr>
      <w:pStyle w:val="Header"/>
      <w:jc w:val="center"/>
      <w:rPr>
        <w:rFonts w:ascii="Times New Roman" w:hAnsi="Times New Roman" w:cs="Times New Roman"/>
      </w:rPr>
    </w:pPr>
    <w:r w:rsidRPr="001E1A11">
      <w:rPr>
        <w:rFonts w:ascii="Times New Roman" w:hAnsi="Times New Roman" w:cs="Times New Roman"/>
      </w:rPr>
      <w:t>DRAFT DELIBERATIVE DOCUMENT – NOT FOR DISTRIBUTION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6" w:rsidRDefault="00493926">
    <w:pPr>
      <w:pStyle w:val="Header"/>
    </w:pPr>
    <w:r>
      <w:t>DRAFT DELIBERATIVE DOCUMENT – NOT FOR DISTIRBUTION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2942A7"/>
    <w:multiLevelType w:val="hybridMultilevel"/>
    <w:tmpl w:val="843657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368B6"/>
    <w:multiLevelType w:val="hybridMultilevel"/>
    <w:tmpl w:val="984A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729B2"/>
    <w:multiLevelType w:val="hybridMultilevel"/>
    <w:tmpl w:val="8E26C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75933"/>
    <w:multiLevelType w:val="hybridMultilevel"/>
    <w:tmpl w:val="185837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A1A34"/>
    <w:multiLevelType w:val="hybridMultilevel"/>
    <w:tmpl w:val="30A8E586"/>
    <w:lvl w:ilvl="0" w:tplc="131EC6C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D97735"/>
    <w:multiLevelType w:val="hybridMultilevel"/>
    <w:tmpl w:val="F32C7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E1480"/>
    <w:multiLevelType w:val="hybridMultilevel"/>
    <w:tmpl w:val="61C6545C"/>
    <w:lvl w:ilvl="0" w:tplc="B808B6F6">
      <w:start w:val="1"/>
      <w:numFmt w:val="bullet"/>
      <w:lvlText w:val="•"/>
      <w:lvlJc w:val="left"/>
      <w:pPr>
        <w:tabs>
          <w:tab w:val="num" w:pos="720"/>
        </w:tabs>
        <w:ind w:left="720" w:hanging="360"/>
      </w:pPr>
      <w:rPr>
        <w:rFonts w:ascii="Arial" w:hAnsi="Arial" w:hint="default"/>
      </w:rPr>
    </w:lvl>
    <w:lvl w:ilvl="1" w:tplc="7808701A">
      <w:start w:val="1421"/>
      <w:numFmt w:val="bullet"/>
      <w:lvlText w:val="•"/>
      <w:lvlJc w:val="left"/>
      <w:pPr>
        <w:tabs>
          <w:tab w:val="num" w:pos="1440"/>
        </w:tabs>
        <w:ind w:left="1440" w:hanging="360"/>
      </w:pPr>
      <w:rPr>
        <w:rFonts w:ascii="Times New Roman" w:hAnsi="Times New Roman" w:hint="default"/>
      </w:rPr>
    </w:lvl>
    <w:lvl w:ilvl="2" w:tplc="1C0666E4" w:tentative="1">
      <w:start w:val="1"/>
      <w:numFmt w:val="bullet"/>
      <w:lvlText w:val="•"/>
      <w:lvlJc w:val="left"/>
      <w:pPr>
        <w:tabs>
          <w:tab w:val="num" w:pos="2160"/>
        </w:tabs>
        <w:ind w:left="2160" w:hanging="360"/>
      </w:pPr>
      <w:rPr>
        <w:rFonts w:ascii="Arial" w:hAnsi="Arial" w:hint="default"/>
      </w:rPr>
    </w:lvl>
    <w:lvl w:ilvl="3" w:tplc="D44E2E28" w:tentative="1">
      <w:start w:val="1"/>
      <w:numFmt w:val="bullet"/>
      <w:lvlText w:val="•"/>
      <w:lvlJc w:val="left"/>
      <w:pPr>
        <w:tabs>
          <w:tab w:val="num" w:pos="2880"/>
        </w:tabs>
        <w:ind w:left="2880" w:hanging="360"/>
      </w:pPr>
      <w:rPr>
        <w:rFonts w:ascii="Arial" w:hAnsi="Arial" w:hint="default"/>
      </w:rPr>
    </w:lvl>
    <w:lvl w:ilvl="4" w:tplc="F9EA0FDA" w:tentative="1">
      <w:start w:val="1"/>
      <w:numFmt w:val="bullet"/>
      <w:lvlText w:val="•"/>
      <w:lvlJc w:val="left"/>
      <w:pPr>
        <w:tabs>
          <w:tab w:val="num" w:pos="3600"/>
        </w:tabs>
        <w:ind w:left="3600" w:hanging="360"/>
      </w:pPr>
      <w:rPr>
        <w:rFonts w:ascii="Arial" w:hAnsi="Arial" w:hint="default"/>
      </w:rPr>
    </w:lvl>
    <w:lvl w:ilvl="5" w:tplc="A5648A9C" w:tentative="1">
      <w:start w:val="1"/>
      <w:numFmt w:val="bullet"/>
      <w:lvlText w:val="•"/>
      <w:lvlJc w:val="left"/>
      <w:pPr>
        <w:tabs>
          <w:tab w:val="num" w:pos="4320"/>
        </w:tabs>
        <w:ind w:left="4320" w:hanging="360"/>
      </w:pPr>
      <w:rPr>
        <w:rFonts w:ascii="Arial" w:hAnsi="Arial" w:hint="default"/>
      </w:rPr>
    </w:lvl>
    <w:lvl w:ilvl="6" w:tplc="28CEC318" w:tentative="1">
      <w:start w:val="1"/>
      <w:numFmt w:val="bullet"/>
      <w:lvlText w:val="•"/>
      <w:lvlJc w:val="left"/>
      <w:pPr>
        <w:tabs>
          <w:tab w:val="num" w:pos="5040"/>
        </w:tabs>
        <w:ind w:left="5040" w:hanging="360"/>
      </w:pPr>
      <w:rPr>
        <w:rFonts w:ascii="Arial" w:hAnsi="Arial" w:hint="default"/>
      </w:rPr>
    </w:lvl>
    <w:lvl w:ilvl="7" w:tplc="2AAA0424" w:tentative="1">
      <w:start w:val="1"/>
      <w:numFmt w:val="bullet"/>
      <w:lvlText w:val="•"/>
      <w:lvlJc w:val="left"/>
      <w:pPr>
        <w:tabs>
          <w:tab w:val="num" w:pos="5760"/>
        </w:tabs>
        <w:ind w:left="5760" w:hanging="360"/>
      </w:pPr>
      <w:rPr>
        <w:rFonts w:ascii="Arial" w:hAnsi="Arial" w:hint="default"/>
      </w:rPr>
    </w:lvl>
    <w:lvl w:ilvl="8" w:tplc="527A66B8" w:tentative="1">
      <w:start w:val="1"/>
      <w:numFmt w:val="bullet"/>
      <w:lvlText w:val="•"/>
      <w:lvlJc w:val="left"/>
      <w:pPr>
        <w:tabs>
          <w:tab w:val="num" w:pos="6480"/>
        </w:tabs>
        <w:ind w:left="6480" w:hanging="360"/>
      </w:pPr>
      <w:rPr>
        <w:rFonts w:ascii="Arial" w:hAnsi="Arial" w:hint="default"/>
      </w:rPr>
    </w:lvl>
  </w:abstractNum>
  <w:abstractNum w:abstractNumId="7">
    <w:nsid w:val="1C1A3BC5"/>
    <w:multiLevelType w:val="hybridMultilevel"/>
    <w:tmpl w:val="8E26CF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A1CC9"/>
    <w:multiLevelType w:val="hybridMultilevel"/>
    <w:tmpl w:val="1F3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F1F1E"/>
    <w:multiLevelType w:val="hybridMultilevel"/>
    <w:tmpl w:val="934A1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5238"/>
    <w:multiLevelType w:val="hybridMultilevel"/>
    <w:tmpl w:val="C99AA42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2F218C"/>
    <w:multiLevelType w:val="hybridMultilevel"/>
    <w:tmpl w:val="CF326D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9869E6"/>
    <w:multiLevelType w:val="hybridMultilevel"/>
    <w:tmpl w:val="A67A34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E44B0"/>
    <w:multiLevelType w:val="hybridMultilevel"/>
    <w:tmpl w:val="185837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6C1B9F"/>
    <w:multiLevelType w:val="hybridMultilevel"/>
    <w:tmpl w:val="3FBA301C"/>
    <w:lvl w:ilvl="0" w:tplc="4606ABAE">
      <w:start w:val="1"/>
      <w:numFmt w:val="upperRoman"/>
      <w:lvlText w:val="%1."/>
      <w:lvlJc w:val="left"/>
      <w:pPr>
        <w:ind w:left="1080" w:hanging="720"/>
      </w:pPr>
      <w:rPr>
        <w:rFonts w:hint="default"/>
      </w:rPr>
    </w:lvl>
    <w:lvl w:ilvl="1" w:tplc="0582C9DC">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D0ADF"/>
    <w:multiLevelType w:val="hybridMultilevel"/>
    <w:tmpl w:val="618A6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97366A"/>
    <w:multiLevelType w:val="hybridMultilevel"/>
    <w:tmpl w:val="6220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B73593"/>
    <w:multiLevelType w:val="hybridMultilevel"/>
    <w:tmpl w:val="99B2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0C1E33"/>
    <w:multiLevelType w:val="hybridMultilevel"/>
    <w:tmpl w:val="A3464B2A"/>
    <w:lvl w:ilvl="0" w:tplc="084E0A88">
      <w:start w:val="1"/>
      <w:numFmt w:val="bullet"/>
      <w:lvlText w:val="–"/>
      <w:lvlJc w:val="left"/>
      <w:pPr>
        <w:tabs>
          <w:tab w:val="num" w:pos="720"/>
        </w:tabs>
        <w:ind w:left="720" w:hanging="360"/>
      </w:pPr>
      <w:rPr>
        <w:rFonts w:ascii="Arial" w:hAnsi="Arial" w:hint="default"/>
      </w:rPr>
    </w:lvl>
    <w:lvl w:ilvl="1" w:tplc="5210B8B8">
      <w:start w:val="1"/>
      <w:numFmt w:val="bullet"/>
      <w:lvlText w:val="–"/>
      <w:lvlJc w:val="left"/>
      <w:pPr>
        <w:tabs>
          <w:tab w:val="num" w:pos="1440"/>
        </w:tabs>
        <w:ind w:left="1440" w:hanging="360"/>
      </w:pPr>
      <w:rPr>
        <w:rFonts w:ascii="Arial" w:hAnsi="Arial" w:hint="default"/>
      </w:rPr>
    </w:lvl>
    <w:lvl w:ilvl="2" w:tplc="0FF0C040" w:tentative="1">
      <w:start w:val="1"/>
      <w:numFmt w:val="bullet"/>
      <w:lvlText w:val="–"/>
      <w:lvlJc w:val="left"/>
      <w:pPr>
        <w:tabs>
          <w:tab w:val="num" w:pos="2160"/>
        </w:tabs>
        <w:ind w:left="2160" w:hanging="360"/>
      </w:pPr>
      <w:rPr>
        <w:rFonts w:ascii="Arial" w:hAnsi="Arial" w:hint="default"/>
      </w:rPr>
    </w:lvl>
    <w:lvl w:ilvl="3" w:tplc="D4925B7E" w:tentative="1">
      <w:start w:val="1"/>
      <w:numFmt w:val="bullet"/>
      <w:lvlText w:val="–"/>
      <w:lvlJc w:val="left"/>
      <w:pPr>
        <w:tabs>
          <w:tab w:val="num" w:pos="2880"/>
        </w:tabs>
        <w:ind w:left="2880" w:hanging="360"/>
      </w:pPr>
      <w:rPr>
        <w:rFonts w:ascii="Arial" w:hAnsi="Arial" w:hint="default"/>
      </w:rPr>
    </w:lvl>
    <w:lvl w:ilvl="4" w:tplc="72F8F0C0" w:tentative="1">
      <w:start w:val="1"/>
      <w:numFmt w:val="bullet"/>
      <w:lvlText w:val="–"/>
      <w:lvlJc w:val="left"/>
      <w:pPr>
        <w:tabs>
          <w:tab w:val="num" w:pos="3600"/>
        </w:tabs>
        <w:ind w:left="3600" w:hanging="360"/>
      </w:pPr>
      <w:rPr>
        <w:rFonts w:ascii="Arial" w:hAnsi="Arial" w:hint="default"/>
      </w:rPr>
    </w:lvl>
    <w:lvl w:ilvl="5" w:tplc="8FAAEC2A" w:tentative="1">
      <w:start w:val="1"/>
      <w:numFmt w:val="bullet"/>
      <w:lvlText w:val="–"/>
      <w:lvlJc w:val="left"/>
      <w:pPr>
        <w:tabs>
          <w:tab w:val="num" w:pos="4320"/>
        </w:tabs>
        <w:ind w:left="4320" w:hanging="360"/>
      </w:pPr>
      <w:rPr>
        <w:rFonts w:ascii="Arial" w:hAnsi="Arial" w:hint="default"/>
      </w:rPr>
    </w:lvl>
    <w:lvl w:ilvl="6" w:tplc="956CB5BA" w:tentative="1">
      <w:start w:val="1"/>
      <w:numFmt w:val="bullet"/>
      <w:lvlText w:val="–"/>
      <w:lvlJc w:val="left"/>
      <w:pPr>
        <w:tabs>
          <w:tab w:val="num" w:pos="5040"/>
        </w:tabs>
        <w:ind w:left="5040" w:hanging="360"/>
      </w:pPr>
      <w:rPr>
        <w:rFonts w:ascii="Arial" w:hAnsi="Arial" w:hint="default"/>
      </w:rPr>
    </w:lvl>
    <w:lvl w:ilvl="7" w:tplc="1068A96A" w:tentative="1">
      <w:start w:val="1"/>
      <w:numFmt w:val="bullet"/>
      <w:lvlText w:val="–"/>
      <w:lvlJc w:val="left"/>
      <w:pPr>
        <w:tabs>
          <w:tab w:val="num" w:pos="5760"/>
        </w:tabs>
        <w:ind w:left="5760" w:hanging="360"/>
      </w:pPr>
      <w:rPr>
        <w:rFonts w:ascii="Arial" w:hAnsi="Arial" w:hint="default"/>
      </w:rPr>
    </w:lvl>
    <w:lvl w:ilvl="8" w:tplc="F6AA57F2" w:tentative="1">
      <w:start w:val="1"/>
      <w:numFmt w:val="bullet"/>
      <w:lvlText w:val="–"/>
      <w:lvlJc w:val="left"/>
      <w:pPr>
        <w:tabs>
          <w:tab w:val="num" w:pos="6480"/>
        </w:tabs>
        <w:ind w:left="6480" w:hanging="360"/>
      </w:pPr>
      <w:rPr>
        <w:rFonts w:ascii="Arial" w:hAnsi="Arial" w:hint="default"/>
      </w:rPr>
    </w:lvl>
  </w:abstractNum>
  <w:abstractNum w:abstractNumId="19">
    <w:nsid w:val="618748BF"/>
    <w:multiLevelType w:val="hybridMultilevel"/>
    <w:tmpl w:val="0AC6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F029A"/>
    <w:multiLevelType w:val="hybridMultilevel"/>
    <w:tmpl w:val="45FAE4B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7821C4"/>
    <w:multiLevelType w:val="hybridMultilevel"/>
    <w:tmpl w:val="0B08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F52E56"/>
    <w:multiLevelType w:val="multilevel"/>
    <w:tmpl w:val="BF50EB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84F3589"/>
    <w:multiLevelType w:val="hybridMultilevel"/>
    <w:tmpl w:val="179E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617F26"/>
    <w:multiLevelType w:val="multilevel"/>
    <w:tmpl w:val="B3EE4100"/>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7"/>
  </w:num>
  <w:num w:numId="3">
    <w:abstractNumId w:val="14"/>
  </w:num>
  <w:num w:numId="4">
    <w:abstractNumId w:val="9"/>
  </w:num>
  <w:num w:numId="5">
    <w:abstractNumId w:val="11"/>
  </w:num>
  <w:num w:numId="6">
    <w:abstractNumId w:val="21"/>
  </w:num>
  <w:num w:numId="7">
    <w:abstractNumId w:val="24"/>
  </w:num>
  <w:num w:numId="8">
    <w:abstractNumId w:val="4"/>
  </w:num>
  <w:num w:numId="9">
    <w:abstractNumId w:val="22"/>
  </w:num>
  <w:num w:numId="10">
    <w:abstractNumId w:val="20"/>
  </w:num>
  <w:num w:numId="11">
    <w:abstractNumId w:val="12"/>
  </w:num>
  <w:num w:numId="12">
    <w:abstractNumId w:val="3"/>
  </w:num>
  <w:num w:numId="13">
    <w:abstractNumId w:val="15"/>
  </w:num>
  <w:num w:numId="14">
    <w:abstractNumId w:val="7"/>
  </w:num>
  <w:num w:numId="15">
    <w:abstractNumId w:val="2"/>
  </w:num>
  <w:num w:numId="16">
    <w:abstractNumId w:val="16"/>
  </w:num>
  <w:num w:numId="17">
    <w:abstractNumId w:val="8"/>
  </w:num>
  <w:num w:numId="18">
    <w:abstractNumId w:val="10"/>
  </w:num>
  <w:num w:numId="19">
    <w:abstractNumId w:val="13"/>
  </w:num>
  <w:num w:numId="20">
    <w:abstractNumId w:val="18"/>
  </w:num>
  <w:num w:numId="21">
    <w:abstractNumId w:val="6"/>
  </w:num>
  <w:num w:numId="22">
    <w:abstractNumId w:val="0"/>
  </w:num>
  <w:num w:numId="23">
    <w:abstractNumId w:val="5"/>
  </w:num>
  <w:num w:numId="24">
    <w:abstractNumId w:val="2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3661"/>
    <w:rsid w:val="00006A38"/>
    <w:rsid w:val="00007586"/>
    <w:rsid w:val="00020DCD"/>
    <w:rsid w:val="000224A3"/>
    <w:rsid w:val="00027179"/>
    <w:rsid w:val="000406D7"/>
    <w:rsid w:val="00041848"/>
    <w:rsid w:val="00050691"/>
    <w:rsid w:val="00071975"/>
    <w:rsid w:val="00075AD5"/>
    <w:rsid w:val="00097CF1"/>
    <w:rsid w:val="000A4215"/>
    <w:rsid w:val="000A577C"/>
    <w:rsid w:val="000B2091"/>
    <w:rsid w:val="000B4781"/>
    <w:rsid w:val="000B650C"/>
    <w:rsid w:val="000D3AA3"/>
    <w:rsid w:val="000D606E"/>
    <w:rsid w:val="000D7A67"/>
    <w:rsid w:val="000D7BC0"/>
    <w:rsid w:val="000E2DDB"/>
    <w:rsid w:val="000E4C7B"/>
    <w:rsid w:val="000F29B8"/>
    <w:rsid w:val="000F4892"/>
    <w:rsid w:val="001009DC"/>
    <w:rsid w:val="00102C2D"/>
    <w:rsid w:val="0010383C"/>
    <w:rsid w:val="001075EE"/>
    <w:rsid w:val="00112B2B"/>
    <w:rsid w:val="00131CFA"/>
    <w:rsid w:val="0014261A"/>
    <w:rsid w:val="00145C48"/>
    <w:rsid w:val="00147F60"/>
    <w:rsid w:val="00152AE3"/>
    <w:rsid w:val="0016447C"/>
    <w:rsid w:val="001652B4"/>
    <w:rsid w:val="00194483"/>
    <w:rsid w:val="001B3B7F"/>
    <w:rsid w:val="001E1A11"/>
    <w:rsid w:val="001E2DFD"/>
    <w:rsid w:val="001E3046"/>
    <w:rsid w:val="001E57EA"/>
    <w:rsid w:val="001E6C9C"/>
    <w:rsid w:val="001F622E"/>
    <w:rsid w:val="001F7EA1"/>
    <w:rsid w:val="0020363C"/>
    <w:rsid w:val="00227C05"/>
    <w:rsid w:val="00235DD8"/>
    <w:rsid w:val="00240D43"/>
    <w:rsid w:val="002516CE"/>
    <w:rsid w:val="00257D5D"/>
    <w:rsid w:val="00263D1B"/>
    <w:rsid w:val="00267085"/>
    <w:rsid w:val="002703A6"/>
    <w:rsid w:val="002728BD"/>
    <w:rsid w:val="00277AAE"/>
    <w:rsid w:val="00277E1A"/>
    <w:rsid w:val="00283FA2"/>
    <w:rsid w:val="00284CEF"/>
    <w:rsid w:val="0028654F"/>
    <w:rsid w:val="00291926"/>
    <w:rsid w:val="00292DDB"/>
    <w:rsid w:val="0029515F"/>
    <w:rsid w:val="002A4675"/>
    <w:rsid w:val="002A5125"/>
    <w:rsid w:val="002A5A5F"/>
    <w:rsid w:val="002B1F25"/>
    <w:rsid w:val="002C046D"/>
    <w:rsid w:val="002E7DBE"/>
    <w:rsid w:val="002F0ED5"/>
    <w:rsid w:val="002F7431"/>
    <w:rsid w:val="00301456"/>
    <w:rsid w:val="003063AF"/>
    <w:rsid w:val="00312C91"/>
    <w:rsid w:val="00317525"/>
    <w:rsid w:val="0032680A"/>
    <w:rsid w:val="00334ABF"/>
    <w:rsid w:val="0035162D"/>
    <w:rsid w:val="00355C42"/>
    <w:rsid w:val="00370398"/>
    <w:rsid w:val="00372EFB"/>
    <w:rsid w:val="00375429"/>
    <w:rsid w:val="0038079A"/>
    <w:rsid w:val="0038139D"/>
    <w:rsid w:val="003A0762"/>
    <w:rsid w:val="003A7486"/>
    <w:rsid w:val="003B2FF4"/>
    <w:rsid w:val="003B373E"/>
    <w:rsid w:val="003B3AC0"/>
    <w:rsid w:val="003C0D1A"/>
    <w:rsid w:val="003C47E1"/>
    <w:rsid w:val="003E16DB"/>
    <w:rsid w:val="003E5C40"/>
    <w:rsid w:val="003E6B85"/>
    <w:rsid w:val="003F053E"/>
    <w:rsid w:val="003F24AE"/>
    <w:rsid w:val="00423112"/>
    <w:rsid w:val="00441553"/>
    <w:rsid w:val="004418D5"/>
    <w:rsid w:val="004425E6"/>
    <w:rsid w:val="004427B5"/>
    <w:rsid w:val="00445718"/>
    <w:rsid w:val="004527EB"/>
    <w:rsid w:val="00452E1F"/>
    <w:rsid w:val="00453DCD"/>
    <w:rsid w:val="00463B00"/>
    <w:rsid w:val="00463F70"/>
    <w:rsid w:val="004707C9"/>
    <w:rsid w:val="004727E5"/>
    <w:rsid w:val="00473712"/>
    <w:rsid w:val="00477222"/>
    <w:rsid w:val="00486EAC"/>
    <w:rsid w:val="00493926"/>
    <w:rsid w:val="004957AF"/>
    <w:rsid w:val="004A1153"/>
    <w:rsid w:val="004B0E0F"/>
    <w:rsid w:val="004B2881"/>
    <w:rsid w:val="004C2C5A"/>
    <w:rsid w:val="004C6EEA"/>
    <w:rsid w:val="004D2CF2"/>
    <w:rsid w:val="004D4D91"/>
    <w:rsid w:val="004D4DF5"/>
    <w:rsid w:val="004E4CE3"/>
    <w:rsid w:val="00550602"/>
    <w:rsid w:val="00550625"/>
    <w:rsid w:val="0055162B"/>
    <w:rsid w:val="0055381D"/>
    <w:rsid w:val="005543AB"/>
    <w:rsid w:val="00555150"/>
    <w:rsid w:val="0056204B"/>
    <w:rsid w:val="00570899"/>
    <w:rsid w:val="00571A37"/>
    <w:rsid w:val="00572E24"/>
    <w:rsid w:val="005A4B24"/>
    <w:rsid w:val="005B2918"/>
    <w:rsid w:val="005B5061"/>
    <w:rsid w:val="005D0069"/>
    <w:rsid w:val="005D16F6"/>
    <w:rsid w:val="005D4DD5"/>
    <w:rsid w:val="005E083D"/>
    <w:rsid w:val="005F0C3F"/>
    <w:rsid w:val="005F36E0"/>
    <w:rsid w:val="005F559B"/>
    <w:rsid w:val="005F68E8"/>
    <w:rsid w:val="00601739"/>
    <w:rsid w:val="00611D16"/>
    <w:rsid w:val="00615101"/>
    <w:rsid w:val="00645F9C"/>
    <w:rsid w:val="006566B2"/>
    <w:rsid w:val="00676965"/>
    <w:rsid w:val="0068167F"/>
    <w:rsid w:val="00686D09"/>
    <w:rsid w:val="006870CC"/>
    <w:rsid w:val="006A1F76"/>
    <w:rsid w:val="006A6CC7"/>
    <w:rsid w:val="006E447E"/>
    <w:rsid w:val="006F0FC9"/>
    <w:rsid w:val="00703E7F"/>
    <w:rsid w:val="0072044C"/>
    <w:rsid w:val="00720EDE"/>
    <w:rsid w:val="00730F94"/>
    <w:rsid w:val="007312C4"/>
    <w:rsid w:val="00732CDE"/>
    <w:rsid w:val="0073773B"/>
    <w:rsid w:val="0074148B"/>
    <w:rsid w:val="007424D8"/>
    <w:rsid w:val="007510B6"/>
    <w:rsid w:val="007679CB"/>
    <w:rsid w:val="007722EA"/>
    <w:rsid w:val="007837F8"/>
    <w:rsid w:val="00783CB1"/>
    <w:rsid w:val="00793529"/>
    <w:rsid w:val="00794555"/>
    <w:rsid w:val="007A5F4C"/>
    <w:rsid w:val="007B0B66"/>
    <w:rsid w:val="007C7FFD"/>
    <w:rsid w:val="007D38A6"/>
    <w:rsid w:val="0080212B"/>
    <w:rsid w:val="00804329"/>
    <w:rsid w:val="008050FD"/>
    <w:rsid w:val="008053EC"/>
    <w:rsid w:val="008059EE"/>
    <w:rsid w:val="008208ED"/>
    <w:rsid w:val="00834CB2"/>
    <w:rsid w:val="00846422"/>
    <w:rsid w:val="00846B18"/>
    <w:rsid w:val="00851B75"/>
    <w:rsid w:val="008A48F5"/>
    <w:rsid w:val="008B7DC9"/>
    <w:rsid w:val="008C69C6"/>
    <w:rsid w:val="008D3661"/>
    <w:rsid w:val="008D3A17"/>
    <w:rsid w:val="008E3B82"/>
    <w:rsid w:val="008F325B"/>
    <w:rsid w:val="00902342"/>
    <w:rsid w:val="00911FA2"/>
    <w:rsid w:val="009125E4"/>
    <w:rsid w:val="00923260"/>
    <w:rsid w:val="009334DA"/>
    <w:rsid w:val="00953DA7"/>
    <w:rsid w:val="00961810"/>
    <w:rsid w:val="0096680F"/>
    <w:rsid w:val="00971DE8"/>
    <w:rsid w:val="009823F8"/>
    <w:rsid w:val="009863EE"/>
    <w:rsid w:val="009D16EF"/>
    <w:rsid w:val="009D7777"/>
    <w:rsid w:val="009E15A2"/>
    <w:rsid w:val="009E16DA"/>
    <w:rsid w:val="009E4C2D"/>
    <w:rsid w:val="009F2888"/>
    <w:rsid w:val="00A00440"/>
    <w:rsid w:val="00A11914"/>
    <w:rsid w:val="00A33AF1"/>
    <w:rsid w:val="00A45D09"/>
    <w:rsid w:val="00A6314B"/>
    <w:rsid w:val="00A64123"/>
    <w:rsid w:val="00A8288B"/>
    <w:rsid w:val="00A84E46"/>
    <w:rsid w:val="00A860A0"/>
    <w:rsid w:val="00AA0CB9"/>
    <w:rsid w:val="00AB6518"/>
    <w:rsid w:val="00AC1CC3"/>
    <w:rsid w:val="00AC30C8"/>
    <w:rsid w:val="00AD365F"/>
    <w:rsid w:val="00AD625F"/>
    <w:rsid w:val="00AD7480"/>
    <w:rsid w:val="00AF33B2"/>
    <w:rsid w:val="00AF37A3"/>
    <w:rsid w:val="00B142A5"/>
    <w:rsid w:val="00B16B6F"/>
    <w:rsid w:val="00B214FC"/>
    <w:rsid w:val="00B23BE5"/>
    <w:rsid w:val="00B432D4"/>
    <w:rsid w:val="00B54818"/>
    <w:rsid w:val="00B549FD"/>
    <w:rsid w:val="00B61447"/>
    <w:rsid w:val="00B722B2"/>
    <w:rsid w:val="00B83B21"/>
    <w:rsid w:val="00B83F0C"/>
    <w:rsid w:val="00B84624"/>
    <w:rsid w:val="00B86C3A"/>
    <w:rsid w:val="00B92AA6"/>
    <w:rsid w:val="00B964D1"/>
    <w:rsid w:val="00BA18CF"/>
    <w:rsid w:val="00BA313F"/>
    <w:rsid w:val="00BA7F5C"/>
    <w:rsid w:val="00BB5634"/>
    <w:rsid w:val="00BC408E"/>
    <w:rsid w:val="00BD059E"/>
    <w:rsid w:val="00C0140B"/>
    <w:rsid w:val="00C06C60"/>
    <w:rsid w:val="00C153A0"/>
    <w:rsid w:val="00C21F91"/>
    <w:rsid w:val="00C31270"/>
    <w:rsid w:val="00C336C6"/>
    <w:rsid w:val="00C51680"/>
    <w:rsid w:val="00C51F16"/>
    <w:rsid w:val="00C649A5"/>
    <w:rsid w:val="00C6700C"/>
    <w:rsid w:val="00C673B8"/>
    <w:rsid w:val="00C72C62"/>
    <w:rsid w:val="00C73CD6"/>
    <w:rsid w:val="00C90C3B"/>
    <w:rsid w:val="00C95DA5"/>
    <w:rsid w:val="00C97EF7"/>
    <w:rsid w:val="00CA28C8"/>
    <w:rsid w:val="00CA347A"/>
    <w:rsid w:val="00CA48E2"/>
    <w:rsid w:val="00CB4E23"/>
    <w:rsid w:val="00CC1168"/>
    <w:rsid w:val="00CC210C"/>
    <w:rsid w:val="00CC51B3"/>
    <w:rsid w:val="00CC5EDC"/>
    <w:rsid w:val="00CE532A"/>
    <w:rsid w:val="00CF5E7B"/>
    <w:rsid w:val="00CF7FF1"/>
    <w:rsid w:val="00D02702"/>
    <w:rsid w:val="00D0421E"/>
    <w:rsid w:val="00D17A78"/>
    <w:rsid w:val="00D30068"/>
    <w:rsid w:val="00D37763"/>
    <w:rsid w:val="00D3798A"/>
    <w:rsid w:val="00D55B1A"/>
    <w:rsid w:val="00D56FFB"/>
    <w:rsid w:val="00D60844"/>
    <w:rsid w:val="00D61717"/>
    <w:rsid w:val="00D84702"/>
    <w:rsid w:val="00D9173F"/>
    <w:rsid w:val="00D93DAD"/>
    <w:rsid w:val="00DA30D5"/>
    <w:rsid w:val="00DB038E"/>
    <w:rsid w:val="00DE69F6"/>
    <w:rsid w:val="00DF5200"/>
    <w:rsid w:val="00E1549A"/>
    <w:rsid w:val="00E21E0C"/>
    <w:rsid w:val="00E30C6A"/>
    <w:rsid w:val="00E31D58"/>
    <w:rsid w:val="00E40C52"/>
    <w:rsid w:val="00E52B62"/>
    <w:rsid w:val="00E700B9"/>
    <w:rsid w:val="00E95790"/>
    <w:rsid w:val="00EA16C4"/>
    <w:rsid w:val="00EB1B4C"/>
    <w:rsid w:val="00EB5347"/>
    <w:rsid w:val="00EC5CBD"/>
    <w:rsid w:val="00EC7DDE"/>
    <w:rsid w:val="00ED40F0"/>
    <w:rsid w:val="00ED6464"/>
    <w:rsid w:val="00EE0C7E"/>
    <w:rsid w:val="00EE3022"/>
    <w:rsid w:val="00F01DD2"/>
    <w:rsid w:val="00F07904"/>
    <w:rsid w:val="00F11493"/>
    <w:rsid w:val="00F13B51"/>
    <w:rsid w:val="00F258E8"/>
    <w:rsid w:val="00F271DC"/>
    <w:rsid w:val="00F27725"/>
    <w:rsid w:val="00F375A3"/>
    <w:rsid w:val="00F400AD"/>
    <w:rsid w:val="00F56B83"/>
    <w:rsid w:val="00F632D8"/>
    <w:rsid w:val="00F814C5"/>
    <w:rsid w:val="00F81F73"/>
    <w:rsid w:val="00F96433"/>
    <w:rsid w:val="00FA3B04"/>
    <w:rsid w:val="00FA43D7"/>
    <w:rsid w:val="00FA4581"/>
    <w:rsid w:val="00FA6CD1"/>
    <w:rsid w:val="00FD1BAA"/>
    <w:rsid w:val="00FD6AD4"/>
    <w:rsid w:val="00FF6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25F"/>
  </w:style>
  <w:style w:type="paragraph" w:styleId="Heading1">
    <w:name w:val="heading 1"/>
    <w:basedOn w:val="Normal"/>
    <w:next w:val="Normal"/>
    <w:link w:val="Heading1Char"/>
    <w:uiPriority w:val="9"/>
    <w:qFormat/>
    <w:rsid w:val="008D3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6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661"/>
    <w:rPr>
      <w:rFonts w:asciiTheme="majorHAnsi" w:eastAsiaTheme="majorEastAsia" w:hAnsiTheme="majorHAnsi" w:cstheme="majorBidi"/>
      <w:b/>
      <w:bCs/>
      <w:color w:val="4F81BD" w:themeColor="accent1"/>
    </w:rPr>
  </w:style>
  <w:style w:type="paragraph" w:styleId="NoSpacing">
    <w:name w:val="No Spacing"/>
    <w:uiPriority w:val="1"/>
    <w:qFormat/>
    <w:rsid w:val="00463F70"/>
    <w:pPr>
      <w:spacing w:after="0" w:line="240" w:lineRule="auto"/>
    </w:pPr>
  </w:style>
  <w:style w:type="character" w:styleId="Hyperlink">
    <w:name w:val="Hyperlink"/>
    <w:basedOn w:val="DefaultParagraphFont"/>
    <w:uiPriority w:val="99"/>
    <w:unhideWhenUsed/>
    <w:rsid w:val="00F814C5"/>
    <w:rPr>
      <w:color w:val="0000FF" w:themeColor="hyperlink"/>
      <w:u w:val="single"/>
    </w:rPr>
  </w:style>
  <w:style w:type="paragraph" w:styleId="NormalWeb">
    <w:name w:val="Normal (Web)"/>
    <w:basedOn w:val="Normal"/>
    <w:uiPriority w:val="99"/>
    <w:unhideWhenUsed/>
    <w:rsid w:val="0004184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41848"/>
    <w:pPr>
      <w:widowControl w:val="0"/>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0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40"/>
    <w:rPr>
      <w:rFonts w:ascii="Tahoma" w:hAnsi="Tahoma" w:cs="Tahoma"/>
      <w:sz w:val="16"/>
      <w:szCs w:val="16"/>
    </w:rPr>
  </w:style>
  <w:style w:type="character" w:styleId="CommentReference">
    <w:name w:val="annotation reference"/>
    <w:basedOn w:val="DefaultParagraphFont"/>
    <w:uiPriority w:val="99"/>
    <w:semiHidden/>
    <w:unhideWhenUsed/>
    <w:rsid w:val="00CC210C"/>
    <w:rPr>
      <w:sz w:val="16"/>
      <w:szCs w:val="16"/>
    </w:rPr>
  </w:style>
  <w:style w:type="paragraph" w:styleId="CommentText">
    <w:name w:val="annotation text"/>
    <w:basedOn w:val="Normal"/>
    <w:link w:val="CommentTextChar"/>
    <w:uiPriority w:val="99"/>
    <w:unhideWhenUsed/>
    <w:rsid w:val="00CC210C"/>
    <w:pPr>
      <w:spacing w:line="240" w:lineRule="auto"/>
    </w:pPr>
    <w:rPr>
      <w:sz w:val="20"/>
      <w:szCs w:val="20"/>
    </w:rPr>
  </w:style>
  <w:style w:type="character" w:customStyle="1" w:styleId="CommentTextChar">
    <w:name w:val="Comment Text Char"/>
    <w:basedOn w:val="DefaultParagraphFont"/>
    <w:link w:val="CommentText"/>
    <w:uiPriority w:val="99"/>
    <w:rsid w:val="00CC210C"/>
    <w:rPr>
      <w:sz w:val="20"/>
      <w:szCs w:val="20"/>
    </w:rPr>
  </w:style>
  <w:style w:type="paragraph" w:styleId="CommentSubject">
    <w:name w:val="annotation subject"/>
    <w:basedOn w:val="CommentText"/>
    <w:next w:val="CommentText"/>
    <w:link w:val="CommentSubjectChar"/>
    <w:uiPriority w:val="99"/>
    <w:semiHidden/>
    <w:unhideWhenUsed/>
    <w:rsid w:val="00CC210C"/>
    <w:rPr>
      <w:b/>
      <w:bCs/>
    </w:rPr>
  </w:style>
  <w:style w:type="character" w:customStyle="1" w:styleId="CommentSubjectChar">
    <w:name w:val="Comment Subject Char"/>
    <w:basedOn w:val="CommentTextChar"/>
    <w:link w:val="CommentSubject"/>
    <w:uiPriority w:val="99"/>
    <w:semiHidden/>
    <w:rsid w:val="00CC210C"/>
    <w:rPr>
      <w:b/>
      <w:bCs/>
      <w:sz w:val="20"/>
      <w:szCs w:val="20"/>
    </w:rPr>
  </w:style>
  <w:style w:type="character" w:styleId="HTMLAcronym">
    <w:name w:val="HTML Acronym"/>
    <w:basedOn w:val="DefaultParagraphFont"/>
    <w:uiPriority w:val="99"/>
    <w:semiHidden/>
    <w:unhideWhenUsed/>
    <w:rsid w:val="00FA43D7"/>
  </w:style>
  <w:style w:type="character" w:styleId="Emphasis">
    <w:name w:val="Emphasis"/>
    <w:basedOn w:val="DefaultParagraphFont"/>
    <w:uiPriority w:val="20"/>
    <w:qFormat/>
    <w:rsid w:val="00E1549A"/>
    <w:rPr>
      <w:rFonts w:ascii="Arial" w:hAnsi="Arial" w:cs="Arial" w:hint="default"/>
      <w:i/>
      <w:iCs/>
    </w:rPr>
  </w:style>
  <w:style w:type="paragraph" w:styleId="ListParagraph">
    <w:name w:val="List Paragraph"/>
    <w:basedOn w:val="Normal"/>
    <w:uiPriority w:val="34"/>
    <w:qFormat/>
    <w:rsid w:val="00E1549A"/>
    <w:pPr>
      <w:spacing w:before="120" w:after="120" w:line="240"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E1549A"/>
    <w:pPr>
      <w:spacing w:before="120" w:after="120" w:line="240" w:lineRule="auto"/>
      <w:ind w:left="36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549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549A"/>
    <w:rPr>
      <w:vertAlign w:val="superscript"/>
    </w:rPr>
  </w:style>
  <w:style w:type="character" w:styleId="FollowedHyperlink">
    <w:name w:val="FollowedHyperlink"/>
    <w:basedOn w:val="DefaultParagraphFont"/>
    <w:uiPriority w:val="99"/>
    <w:semiHidden/>
    <w:unhideWhenUsed/>
    <w:rsid w:val="00A64123"/>
    <w:rPr>
      <w:color w:val="800080" w:themeColor="followedHyperlink"/>
      <w:u w:val="single"/>
    </w:rPr>
  </w:style>
  <w:style w:type="paragraph" w:styleId="PlainText">
    <w:name w:val="Plain Text"/>
    <w:basedOn w:val="Normal"/>
    <w:link w:val="PlainTextChar"/>
    <w:uiPriority w:val="99"/>
    <w:semiHidden/>
    <w:unhideWhenUsed/>
    <w:rsid w:val="001009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009DC"/>
    <w:rPr>
      <w:rFonts w:ascii="Calibri" w:hAnsi="Calibri" w:cs="Consolas"/>
      <w:szCs w:val="21"/>
    </w:rPr>
  </w:style>
  <w:style w:type="paragraph" w:styleId="Header">
    <w:name w:val="header"/>
    <w:basedOn w:val="Normal"/>
    <w:link w:val="HeaderChar"/>
    <w:uiPriority w:val="99"/>
    <w:unhideWhenUsed/>
    <w:rsid w:val="0044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B5"/>
  </w:style>
  <w:style w:type="paragraph" w:styleId="Footer">
    <w:name w:val="footer"/>
    <w:basedOn w:val="Normal"/>
    <w:link w:val="FooterChar"/>
    <w:uiPriority w:val="99"/>
    <w:unhideWhenUsed/>
    <w:rsid w:val="0044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B5"/>
  </w:style>
  <w:style w:type="paragraph" w:customStyle="1" w:styleId="CM59">
    <w:name w:val="CM59"/>
    <w:basedOn w:val="Default"/>
    <w:next w:val="Default"/>
    <w:uiPriority w:val="99"/>
    <w:rsid w:val="005E083D"/>
    <w:pPr>
      <w:widowControl/>
    </w:pPr>
    <w:rPr>
      <w:rFonts w:ascii="Times New Roman" w:hAnsi="Times New Roman" w:cs="Times New Roman"/>
      <w:color w:val="auto"/>
    </w:rPr>
  </w:style>
  <w:style w:type="paragraph" w:customStyle="1" w:styleId="CM53">
    <w:name w:val="CM53"/>
    <w:basedOn w:val="Default"/>
    <w:next w:val="Default"/>
    <w:uiPriority w:val="99"/>
    <w:rsid w:val="005E083D"/>
    <w:pPr>
      <w:widowControl/>
    </w:pPr>
    <w:rPr>
      <w:rFonts w:ascii="Times New Roman" w:hAnsi="Times New Roman" w:cs="Times New Roman"/>
      <w:color w:val="auto"/>
    </w:rPr>
  </w:style>
  <w:style w:type="paragraph" w:customStyle="1" w:styleId="ColorfulList-Accent11">
    <w:name w:val="Colorful List - Accent 11"/>
    <w:basedOn w:val="Normal"/>
    <w:uiPriority w:val="99"/>
    <w:qFormat/>
    <w:rsid w:val="000A577C"/>
    <w:pPr>
      <w:ind w:left="720"/>
      <w:contextualSpacing/>
    </w:pPr>
    <w:rPr>
      <w:rFonts w:ascii="Cambria" w:eastAsia="Cambria" w:hAnsi="Cambria" w:cs="Times New Roman"/>
    </w:rPr>
  </w:style>
  <w:style w:type="paragraph" w:styleId="Revision">
    <w:name w:val="Revision"/>
    <w:hidden/>
    <w:uiPriority w:val="99"/>
    <w:semiHidden/>
    <w:rsid w:val="004418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36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3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36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3661"/>
    <w:rPr>
      <w:rFonts w:asciiTheme="majorHAnsi" w:eastAsiaTheme="majorEastAsia" w:hAnsiTheme="majorHAnsi" w:cstheme="majorBidi"/>
      <w:b/>
      <w:bCs/>
      <w:color w:val="4F81BD" w:themeColor="accent1"/>
    </w:rPr>
  </w:style>
  <w:style w:type="paragraph" w:styleId="NoSpacing">
    <w:name w:val="No Spacing"/>
    <w:uiPriority w:val="1"/>
    <w:qFormat/>
    <w:rsid w:val="00463F70"/>
    <w:pPr>
      <w:spacing w:after="0" w:line="240" w:lineRule="auto"/>
    </w:pPr>
  </w:style>
  <w:style w:type="character" w:styleId="Hyperlink">
    <w:name w:val="Hyperlink"/>
    <w:basedOn w:val="DefaultParagraphFont"/>
    <w:uiPriority w:val="99"/>
    <w:unhideWhenUsed/>
    <w:rsid w:val="00F814C5"/>
    <w:rPr>
      <w:color w:val="0000FF" w:themeColor="hyperlink"/>
      <w:u w:val="single"/>
    </w:rPr>
  </w:style>
  <w:style w:type="paragraph" w:styleId="NormalWeb">
    <w:name w:val="Normal (Web)"/>
    <w:basedOn w:val="Normal"/>
    <w:uiPriority w:val="99"/>
    <w:unhideWhenUsed/>
    <w:rsid w:val="0004184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041848"/>
    <w:pPr>
      <w:widowControl w:val="0"/>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A00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40"/>
    <w:rPr>
      <w:rFonts w:ascii="Tahoma" w:hAnsi="Tahoma" w:cs="Tahoma"/>
      <w:sz w:val="16"/>
      <w:szCs w:val="16"/>
    </w:rPr>
  </w:style>
  <w:style w:type="character" w:styleId="CommentReference">
    <w:name w:val="annotation reference"/>
    <w:basedOn w:val="DefaultParagraphFont"/>
    <w:uiPriority w:val="99"/>
    <w:semiHidden/>
    <w:unhideWhenUsed/>
    <w:rsid w:val="00CC210C"/>
    <w:rPr>
      <w:sz w:val="16"/>
      <w:szCs w:val="16"/>
    </w:rPr>
  </w:style>
  <w:style w:type="paragraph" w:styleId="CommentText">
    <w:name w:val="annotation text"/>
    <w:basedOn w:val="Normal"/>
    <w:link w:val="CommentTextChar"/>
    <w:uiPriority w:val="99"/>
    <w:semiHidden/>
    <w:unhideWhenUsed/>
    <w:rsid w:val="00CC210C"/>
    <w:pPr>
      <w:spacing w:line="240" w:lineRule="auto"/>
    </w:pPr>
    <w:rPr>
      <w:sz w:val="20"/>
      <w:szCs w:val="20"/>
    </w:rPr>
  </w:style>
  <w:style w:type="character" w:customStyle="1" w:styleId="CommentTextChar">
    <w:name w:val="Comment Text Char"/>
    <w:basedOn w:val="DefaultParagraphFont"/>
    <w:link w:val="CommentText"/>
    <w:uiPriority w:val="99"/>
    <w:semiHidden/>
    <w:rsid w:val="00CC210C"/>
    <w:rPr>
      <w:sz w:val="20"/>
      <w:szCs w:val="20"/>
    </w:rPr>
  </w:style>
  <w:style w:type="paragraph" w:styleId="CommentSubject">
    <w:name w:val="annotation subject"/>
    <w:basedOn w:val="CommentText"/>
    <w:next w:val="CommentText"/>
    <w:link w:val="CommentSubjectChar"/>
    <w:uiPriority w:val="99"/>
    <w:semiHidden/>
    <w:unhideWhenUsed/>
    <w:rsid w:val="00CC210C"/>
    <w:rPr>
      <w:b/>
      <w:bCs/>
    </w:rPr>
  </w:style>
  <w:style w:type="character" w:customStyle="1" w:styleId="CommentSubjectChar">
    <w:name w:val="Comment Subject Char"/>
    <w:basedOn w:val="CommentTextChar"/>
    <w:link w:val="CommentSubject"/>
    <w:uiPriority w:val="99"/>
    <w:semiHidden/>
    <w:rsid w:val="00CC210C"/>
    <w:rPr>
      <w:b/>
      <w:bCs/>
      <w:sz w:val="20"/>
      <w:szCs w:val="20"/>
    </w:rPr>
  </w:style>
  <w:style w:type="character" w:styleId="HTMLAcronym">
    <w:name w:val="HTML Acronym"/>
    <w:basedOn w:val="DefaultParagraphFont"/>
    <w:uiPriority w:val="99"/>
    <w:semiHidden/>
    <w:unhideWhenUsed/>
    <w:rsid w:val="00FA43D7"/>
  </w:style>
  <w:style w:type="character" w:styleId="Emphasis">
    <w:name w:val="Emphasis"/>
    <w:basedOn w:val="DefaultParagraphFont"/>
    <w:uiPriority w:val="20"/>
    <w:qFormat/>
    <w:rsid w:val="00E1549A"/>
    <w:rPr>
      <w:rFonts w:ascii="Arial" w:hAnsi="Arial" w:cs="Arial" w:hint="default"/>
      <w:i/>
      <w:iCs/>
    </w:rPr>
  </w:style>
  <w:style w:type="paragraph" w:styleId="ListParagraph">
    <w:name w:val="List Paragraph"/>
    <w:basedOn w:val="Normal"/>
    <w:uiPriority w:val="34"/>
    <w:qFormat/>
    <w:rsid w:val="00E1549A"/>
    <w:pPr>
      <w:spacing w:before="120" w:after="120" w:line="240"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E1549A"/>
    <w:pPr>
      <w:spacing w:before="120" w:after="120" w:line="240" w:lineRule="auto"/>
      <w:ind w:left="36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1549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1549A"/>
    <w:rPr>
      <w:vertAlign w:val="superscript"/>
    </w:rPr>
  </w:style>
  <w:style w:type="character" w:styleId="FollowedHyperlink">
    <w:name w:val="FollowedHyperlink"/>
    <w:basedOn w:val="DefaultParagraphFont"/>
    <w:uiPriority w:val="99"/>
    <w:semiHidden/>
    <w:unhideWhenUsed/>
    <w:rsid w:val="00A64123"/>
    <w:rPr>
      <w:color w:val="800080" w:themeColor="followedHyperlink"/>
      <w:u w:val="single"/>
    </w:rPr>
  </w:style>
  <w:style w:type="paragraph" w:styleId="PlainText">
    <w:name w:val="Plain Text"/>
    <w:basedOn w:val="Normal"/>
    <w:link w:val="PlainTextChar"/>
    <w:uiPriority w:val="99"/>
    <w:semiHidden/>
    <w:unhideWhenUsed/>
    <w:rsid w:val="001009D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1009DC"/>
    <w:rPr>
      <w:rFonts w:ascii="Calibri" w:hAnsi="Calibri" w:cs="Consolas"/>
      <w:szCs w:val="21"/>
    </w:rPr>
  </w:style>
  <w:style w:type="paragraph" w:styleId="Header">
    <w:name w:val="header"/>
    <w:basedOn w:val="Normal"/>
    <w:link w:val="HeaderChar"/>
    <w:uiPriority w:val="99"/>
    <w:unhideWhenUsed/>
    <w:rsid w:val="0044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7B5"/>
  </w:style>
  <w:style w:type="paragraph" w:styleId="Footer">
    <w:name w:val="footer"/>
    <w:basedOn w:val="Normal"/>
    <w:link w:val="FooterChar"/>
    <w:uiPriority w:val="99"/>
    <w:unhideWhenUsed/>
    <w:rsid w:val="0044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7B5"/>
  </w:style>
</w:styles>
</file>

<file path=word/webSettings.xml><?xml version="1.0" encoding="utf-8"?>
<w:webSettings xmlns:r="http://schemas.openxmlformats.org/officeDocument/2006/relationships" xmlns:w="http://schemas.openxmlformats.org/wordprocessingml/2006/main">
  <w:divs>
    <w:div w:id="379328175">
      <w:bodyDiv w:val="1"/>
      <w:marLeft w:val="0"/>
      <w:marRight w:val="0"/>
      <w:marTop w:val="0"/>
      <w:marBottom w:val="0"/>
      <w:divBdr>
        <w:top w:val="none" w:sz="0" w:space="0" w:color="auto"/>
        <w:left w:val="none" w:sz="0" w:space="0" w:color="auto"/>
        <w:bottom w:val="none" w:sz="0" w:space="0" w:color="auto"/>
        <w:right w:val="none" w:sz="0" w:space="0" w:color="auto"/>
      </w:divBdr>
    </w:div>
    <w:div w:id="496111389">
      <w:bodyDiv w:val="1"/>
      <w:marLeft w:val="0"/>
      <w:marRight w:val="0"/>
      <w:marTop w:val="0"/>
      <w:marBottom w:val="0"/>
      <w:divBdr>
        <w:top w:val="none" w:sz="0" w:space="0" w:color="auto"/>
        <w:left w:val="none" w:sz="0" w:space="0" w:color="auto"/>
        <w:bottom w:val="none" w:sz="0" w:space="0" w:color="auto"/>
        <w:right w:val="none" w:sz="0" w:space="0" w:color="auto"/>
      </w:divBdr>
    </w:div>
    <w:div w:id="536312345">
      <w:bodyDiv w:val="1"/>
      <w:marLeft w:val="0"/>
      <w:marRight w:val="0"/>
      <w:marTop w:val="0"/>
      <w:marBottom w:val="0"/>
      <w:divBdr>
        <w:top w:val="none" w:sz="0" w:space="0" w:color="auto"/>
        <w:left w:val="none" w:sz="0" w:space="0" w:color="auto"/>
        <w:bottom w:val="none" w:sz="0" w:space="0" w:color="auto"/>
        <w:right w:val="none" w:sz="0" w:space="0" w:color="auto"/>
      </w:divBdr>
    </w:div>
    <w:div w:id="673923026">
      <w:bodyDiv w:val="1"/>
      <w:marLeft w:val="0"/>
      <w:marRight w:val="0"/>
      <w:marTop w:val="0"/>
      <w:marBottom w:val="0"/>
      <w:divBdr>
        <w:top w:val="none" w:sz="0" w:space="0" w:color="auto"/>
        <w:left w:val="none" w:sz="0" w:space="0" w:color="auto"/>
        <w:bottom w:val="none" w:sz="0" w:space="0" w:color="auto"/>
        <w:right w:val="none" w:sz="0" w:space="0" w:color="auto"/>
      </w:divBdr>
      <w:divsChild>
        <w:div w:id="1867792386">
          <w:marLeft w:val="0"/>
          <w:marRight w:val="0"/>
          <w:marTop w:val="0"/>
          <w:marBottom w:val="0"/>
          <w:divBdr>
            <w:top w:val="none" w:sz="0" w:space="0" w:color="auto"/>
            <w:left w:val="none" w:sz="0" w:space="0" w:color="auto"/>
            <w:bottom w:val="none" w:sz="0" w:space="0" w:color="auto"/>
            <w:right w:val="none" w:sz="0" w:space="0" w:color="auto"/>
          </w:divBdr>
          <w:divsChild>
            <w:div w:id="356388598">
              <w:marLeft w:val="0"/>
              <w:marRight w:val="0"/>
              <w:marTop w:val="0"/>
              <w:marBottom w:val="0"/>
              <w:divBdr>
                <w:top w:val="none" w:sz="0" w:space="0" w:color="auto"/>
                <w:left w:val="none" w:sz="0" w:space="0" w:color="auto"/>
                <w:bottom w:val="none" w:sz="0" w:space="0" w:color="auto"/>
                <w:right w:val="none" w:sz="0" w:space="0" w:color="auto"/>
              </w:divBdr>
              <w:divsChild>
                <w:div w:id="1349135660">
                  <w:marLeft w:val="0"/>
                  <w:marRight w:val="0"/>
                  <w:marTop w:val="0"/>
                  <w:marBottom w:val="0"/>
                  <w:divBdr>
                    <w:top w:val="none" w:sz="0" w:space="0" w:color="auto"/>
                    <w:left w:val="none" w:sz="0" w:space="0" w:color="auto"/>
                    <w:bottom w:val="none" w:sz="0" w:space="0" w:color="auto"/>
                    <w:right w:val="none" w:sz="0" w:space="0" w:color="auto"/>
                  </w:divBdr>
                  <w:divsChild>
                    <w:div w:id="248388819">
                      <w:marLeft w:val="0"/>
                      <w:marRight w:val="0"/>
                      <w:marTop w:val="0"/>
                      <w:marBottom w:val="0"/>
                      <w:divBdr>
                        <w:top w:val="none" w:sz="0" w:space="0" w:color="auto"/>
                        <w:left w:val="none" w:sz="0" w:space="0" w:color="auto"/>
                        <w:bottom w:val="none" w:sz="0" w:space="0" w:color="auto"/>
                        <w:right w:val="none" w:sz="0" w:space="0" w:color="auto"/>
                      </w:divBdr>
                      <w:divsChild>
                        <w:div w:id="13487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327967">
      <w:bodyDiv w:val="1"/>
      <w:marLeft w:val="0"/>
      <w:marRight w:val="0"/>
      <w:marTop w:val="0"/>
      <w:marBottom w:val="0"/>
      <w:divBdr>
        <w:top w:val="none" w:sz="0" w:space="0" w:color="auto"/>
        <w:left w:val="none" w:sz="0" w:space="0" w:color="auto"/>
        <w:bottom w:val="none" w:sz="0" w:space="0" w:color="auto"/>
        <w:right w:val="none" w:sz="0" w:space="0" w:color="auto"/>
      </w:divBdr>
    </w:div>
    <w:div w:id="882060330">
      <w:bodyDiv w:val="1"/>
      <w:marLeft w:val="0"/>
      <w:marRight w:val="0"/>
      <w:marTop w:val="0"/>
      <w:marBottom w:val="0"/>
      <w:divBdr>
        <w:top w:val="none" w:sz="0" w:space="0" w:color="auto"/>
        <w:left w:val="none" w:sz="0" w:space="0" w:color="auto"/>
        <w:bottom w:val="none" w:sz="0" w:space="0" w:color="auto"/>
        <w:right w:val="none" w:sz="0" w:space="0" w:color="auto"/>
      </w:divBdr>
      <w:divsChild>
        <w:div w:id="1760979491">
          <w:marLeft w:val="547"/>
          <w:marRight w:val="0"/>
          <w:marTop w:val="96"/>
          <w:marBottom w:val="0"/>
          <w:divBdr>
            <w:top w:val="none" w:sz="0" w:space="0" w:color="auto"/>
            <w:left w:val="none" w:sz="0" w:space="0" w:color="auto"/>
            <w:bottom w:val="none" w:sz="0" w:space="0" w:color="auto"/>
            <w:right w:val="none" w:sz="0" w:space="0" w:color="auto"/>
          </w:divBdr>
        </w:div>
        <w:div w:id="1025132074">
          <w:marLeft w:val="1166"/>
          <w:marRight w:val="0"/>
          <w:marTop w:val="77"/>
          <w:marBottom w:val="0"/>
          <w:divBdr>
            <w:top w:val="none" w:sz="0" w:space="0" w:color="auto"/>
            <w:left w:val="none" w:sz="0" w:space="0" w:color="auto"/>
            <w:bottom w:val="none" w:sz="0" w:space="0" w:color="auto"/>
            <w:right w:val="none" w:sz="0" w:space="0" w:color="auto"/>
          </w:divBdr>
        </w:div>
        <w:div w:id="1337345323">
          <w:marLeft w:val="1166"/>
          <w:marRight w:val="0"/>
          <w:marTop w:val="77"/>
          <w:marBottom w:val="0"/>
          <w:divBdr>
            <w:top w:val="none" w:sz="0" w:space="0" w:color="auto"/>
            <w:left w:val="none" w:sz="0" w:space="0" w:color="auto"/>
            <w:bottom w:val="none" w:sz="0" w:space="0" w:color="auto"/>
            <w:right w:val="none" w:sz="0" w:space="0" w:color="auto"/>
          </w:divBdr>
        </w:div>
        <w:div w:id="152332000">
          <w:marLeft w:val="1166"/>
          <w:marRight w:val="0"/>
          <w:marTop w:val="77"/>
          <w:marBottom w:val="0"/>
          <w:divBdr>
            <w:top w:val="none" w:sz="0" w:space="0" w:color="auto"/>
            <w:left w:val="none" w:sz="0" w:space="0" w:color="auto"/>
            <w:bottom w:val="none" w:sz="0" w:space="0" w:color="auto"/>
            <w:right w:val="none" w:sz="0" w:space="0" w:color="auto"/>
          </w:divBdr>
        </w:div>
        <w:div w:id="1749307204">
          <w:marLeft w:val="1166"/>
          <w:marRight w:val="0"/>
          <w:marTop w:val="77"/>
          <w:marBottom w:val="0"/>
          <w:divBdr>
            <w:top w:val="none" w:sz="0" w:space="0" w:color="auto"/>
            <w:left w:val="none" w:sz="0" w:space="0" w:color="auto"/>
            <w:bottom w:val="none" w:sz="0" w:space="0" w:color="auto"/>
            <w:right w:val="none" w:sz="0" w:space="0" w:color="auto"/>
          </w:divBdr>
        </w:div>
        <w:div w:id="1092042301">
          <w:marLeft w:val="1166"/>
          <w:marRight w:val="0"/>
          <w:marTop w:val="77"/>
          <w:marBottom w:val="0"/>
          <w:divBdr>
            <w:top w:val="none" w:sz="0" w:space="0" w:color="auto"/>
            <w:left w:val="none" w:sz="0" w:space="0" w:color="auto"/>
            <w:bottom w:val="none" w:sz="0" w:space="0" w:color="auto"/>
            <w:right w:val="none" w:sz="0" w:space="0" w:color="auto"/>
          </w:divBdr>
        </w:div>
      </w:divsChild>
    </w:div>
    <w:div w:id="1283538550">
      <w:bodyDiv w:val="1"/>
      <w:marLeft w:val="0"/>
      <w:marRight w:val="0"/>
      <w:marTop w:val="0"/>
      <w:marBottom w:val="0"/>
      <w:divBdr>
        <w:top w:val="none" w:sz="0" w:space="0" w:color="auto"/>
        <w:left w:val="none" w:sz="0" w:space="0" w:color="auto"/>
        <w:bottom w:val="none" w:sz="0" w:space="0" w:color="auto"/>
        <w:right w:val="none" w:sz="0" w:space="0" w:color="auto"/>
      </w:divBdr>
      <w:divsChild>
        <w:div w:id="450370030">
          <w:marLeft w:val="1166"/>
          <w:marRight w:val="0"/>
          <w:marTop w:val="58"/>
          <w:marBottom w:val="0"/>
          <w:divBdr>
            <w:top w:val="none" w:sz="0" w:space="0" w:color="auto"/>
            <w:left w:val="none" w:sz="0" w:space="0" w:color="auto"/>
            <w:bottom w:val="none" w:sz="0" w:space="0" w:color="auto"/>
            <w:right w:val="none" w:sz="0" w:space="0" w:color="auto"/>
          </w:divBdr>
        </w:div>
      </w:divsChild>
    </w:div>
    <w:div w:id="1286690361">
      <w:bodyDiv w:val="1"/>
      <w:marLeft w:val="0"/>
      <w:marRight w:val="0"/>
      <w:marTop w:val="0"/>
      <w:marBottom w:val="0"/>
      <w:divBdr>
        <w:top w:val="none" w:sz="0" w:space="0" w:color="auto"/>
        <w:left w:val="none" w:sz="0" w:space="0" w:color="auto"/>
        <w:bottom w:val="none" w:sz="0" w:space="0" w:color="auto"/>
        <w:right w:val="none" w:sz="0" w:space="0" w:color="auto"/>
      </w:divBdr>
    </w:div>
    <w:div w:id="1707833092">
      <w:bodyDiv w:val="1"/>
      <w:marLeft w:val="0"/>
      <w:marRight w:val="0"/>
      <w:marTop w:val="0"/>
      <w:marBottom w:val="0"/>
      <w:divBdr>
        <w:top w:val="none" w:sz="0" w:space="0" w:color="auto"/>
        <w:left w:val="none" w:sz="0" w:space="0" w:color="auto"/>
        <w:bottom w:val="none" w:sz="0" w:space="0" w:color="auto"/>
        <w:right w:val="none" w:sz="0" w:space="0" w:color="auto"/>
      </w:divBdr>
    </w:div>
    <w:div w:id="1785147318">
      <w:bodyDiv w:val="1"/>
      <w:marLeft w:val="0"/>
      <w:marRight w:val="0"/>
      <w:marTop w:val="0"/>
      <w:marBottom w:val="0"/>
      <w:divBdr>
        <w:top w:val="none" w:sz="0" w:space="0" w:color="auto"/>
        <w:left w:val="none" w:sz="0" w:space="0" w:color="auto"/>
        <w:bottom w:val="none" w:sz="0" w:space="0" w:color="auto"/>
        <w:right w:val="none" w:sz="0" w:space="0" w:color="auto"/>
      </w:divBdr>
    </w:div>
    <w:div w:id="2109155637">
      <w:bodyDiv w:val="1"/>
      <w:marLeft w:val="0"/>
      <w:marRight w:val="0"/>
      <w:marTop w:val="0"/>
      <w:marBottom w:val="0"/>
      <w:divBdr>
        <w:top w:val="none" w:sz="0" w:space="0" w:color="auto"/>
        <w:left w:val="none" w:sz="0" w:space="0" w:color="auto"/>
        <w:bottom w:val="none" w:sz="0" w:space="0" w:color="auto"/>
        <w:right w:val="none" w:sz="0" w:space="0" w:color="auto"/>
      </w:divBdr>
      <w:divsChild>
        <w:div w:id="1355768308">
          <w:marLeft w:val="0"/>
          <w:marRight w:val="0"/>
          <w:marTop w:val="0"/>
          <w:marBottom w:val="0"/>
          <w:divBdr>
            <w:top w:val="none" w:sz="0" w:space="0" w:color="auto"/>
            <w:left w:val="none" w:sz="0" w:space="0" w:color="auto"/>
            <w:bottom w:val="none" w:sz="0" w:space="0" w:color="auto"/>
            <w:right w:val="none" w:sz="0" w:space="0" w:color="auto"/>
          </w:divBdr>
          <w:divsChild>
            <w:div w:id="1741318827">
              <w:marLeft w:val="0"/>
              <w:marRight w:val="0"/>
              <w:marTop w:val="0"/>
              <w:marBottom w:val="0"/>
              <w:divBdr>
                <w:top w:val="none" w:sz="0" w:space="0" w:color="auto"/>
                <w:left w:val="none" w:sz="0" w:space="0" w:color="auto"/>
                <w:bottom w:val="none" w:sz="0" w:space="0" w:color="auto"/>
                <w:right w:val="none" w:sz="0" w:space="0" w:color="auto"/>
              </w:divBdr>
              <w:divsChild>
                <w:div w:id="2124376354">
                  <w:marLeft w:val="0"/>
                  <w:marRight w:val="0"/>
                  <w:marTop w:val="0"/>
                  <w:marBottom w:val="0"/>
                  <w:divBdr>
                    <w:top w:val="none" w:sz="0" w:space="0" w:color="auto"/>
                    <w:left w:val="none" w:sz="0" w:space="0" w:color="auto"/>
                    <w:bottom w:val="none" w:sz="0" w:space="0" w:color="auto"/>
                    <w:right w:val="none" w:sz="0" w:space="0" w:color="auto"/>
                  </w:divBdr>
                  <w:divsChild>
                    <w:div w:id="2003778894">
                      <w:marLeft w:val="0"/>
                      <w:marRight w:val="0"/>
                      <w:marTop w:val="0"/>
                      <w:marBottom w:val="0"/>
                      <w:divBdr>
                        <w:top w:val="none" w:sz="0" w:space="0" w:color="auto"/>
                        <w:left w:val="none" w:sz="0" w:space="0" w:color="auto"/>
                        <w:bottom w:val="none" w:sz="0" w:space="0" w:color="auto"/>
                        <w:right w:val="none" w:sz="0" w:space="0" w:color="auto"/>
                      </w:divBdr>
                      <w:divsChild>
                        <w:div w:id="1230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ives.doe.gov/directives/0144.1-BOrder-AdmChg1/view" TargetMode="External"/><Relationship Id="rId13" Type="http://schemas.openxmlformats.org/officeDocument/2006/relationships/hyperlink" Target="http://www1.eere.energy.gov/wind/pdfs/national_offshore_wind_strategy.pdf" TargetMode="External"/><Relationship Id="rId18" Type="http://schemas.openxmlformats.org/officeDocument/2006/relationships/hyperlink" Target="https://www.federalregister.gov/articles/2012/02/27/2012-4464/rapid-response-team-for-transmission"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ax.omb.gov/community/x/xhAWJQ" TargetMode="External"/><Relationship Id="rId17" Type="http://schemas.openxmlformats.org/officeDocument/2006/relationships/hyperlink" Target="http://www.advancedh2opower.com/Resources/Regulatory%20Roadmaps/Regulatory%20Handbook.pdf" TargetMode="External"/><Relationship Id="rId2" Type="http://schemas.openxmlformats.org/officeDocument/2006/relationships/numbering" Target="numbering.xml"/><Relationship Id="rId16" Type="http://schemas.openxmlformats.org/officeDocument/2006/relationships/hyperlink" Target="http://www.nrel.gov/geothermal/developer_checklis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p.org/publications/SPP_Tariff.pdf" TargetMode="External"/><Relationship Id="rId5" Type="http://schemas.openxmlformats.org/officeDocument/2006/relationships/webSettings" Target="webSettings.xml"/><Relationship Id="rId15" Type="http://schemas.openxmlformats.org/officeDocument/2006/relationships/hyperlink" Target="http://energy.gov/oe/services/electricity-policy-coordination-and-implementation" TargetMode="External"/><Relationship Id="rId23" Type="http://schemas.openxmlformats.org/officeDocument/2006/relationships/theme" Target="theme/theme1.xml"/><Relationship Id="rId10" Type="http://schemas.openxmlformats.org/officeDocument/2006/relationships/hyperlink" Target="http://energy.gov/nepa/guidanc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rectives.doe.gov/directives/0451.1-BOrder-bAdmChg3/at_download/file" TargetMode="External"/><Relationship Id="rId14" Type="http://schemas.openxmlformats.org/officeDocument/2006/relationships/hyperlink" Target="https://max.omb.gov/community/x/xhAWJQ"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49C88-AED3-4241-A738-D20190BF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6216</Words>
  <Characters>35436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41569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 Beightel</dc:creator>
  <cp:lastModifiedBy>Angela Colamaria</cp:lastModifiedBy>
  <cp:revision>2</cp:revision>
  <cp:lastPrinted>2012-06-28T13:59:00Z</cp:lastPrinted>
  <dcterms:created xsi:type="dcterms:W3CDTF">2012-09-27T14:33:00Z</dcterms:created>
  <dcterms:modified xsi:type="dcterms:W3CDTF">2012-09-27T14:33:00Z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