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A1" w:rsidRDefault="00A72BA1" w:rsidP="00A72BA1">
      <w:pPr>
        <w:pStyle w:val="BodyHeading"/>
        <w:pBdr>
          <w:bottom w:val="none" w:sz="0" w:space="0" w:color="auto"/>
          <w:between w:val="none" w:sz="0" w:space="0" w:color="auto"/>
        </w:pBdr>
      </w:pPr>
      <w:r>
        <w:t>.0</w:t>
      </w:r>
      <w:r>
        <w:tab/>
        <w:t>ASSUMPTIONS</w:t>
      </w:r>
      <w:r>
        <w:fldChar w:fldCharType="begin"/>
      </w:r>
      <w:r>
        <w:rPr>
          <w:rFonts w:ascii="Times New Roman" w:hAnsi="Times New Roman" w:cs="Times New Roman"/>
          <w:sz w:val="24"/>
          <w:szCs w:val="24"/>
        </w:rPr>
        <w:instrText>tc "</w:instrText>
      </w:r>
      <w:r>
        <w:instrText>.0</w:instrText>
      </w:r>
      <w:r>
        <w:tab/>
        <w:instrText>ASSUMPTIONS"</w:instrText>
      </w:r>
      <w:r>
        <w:fldChar w:fldCharType="end"/>
      </w:r>
    </w:p>
    <w:p w:rsidR="00A72BA1" w:rsidRDefault="00A72BA1" w:rsidP="00A72BA1">
      <w:pPr>
        <w:pStyle w:val="paragraphspace"/>
      </w:pPr>
    </w:p>
    <w:p w:rsidR="00A72BA1" w:rsidRDefault="00A72BA1" w:rsidP="00A72BA1">
      <w:pPr>
        <w:pStyle w:val="bullets"/>
        <w:rPr>
          <w:color w:val="auto"/>
        </w:rPr>
      </w:pPr>
      <w:r>
        <w:rPr>
          <w:color w:val="auto"/>
        </w:rPr>
        <w:t>This model procedure will be used by responders trained in an incident management system.  The incident commander will consult will appropriate local, state, and federal officials to ensure all regulatory policies and requirements are identified and complied with during incident recovery planning and mitigation.</w:t>
      </w:r>
    </w:p>
    <w:p w:rsidR="00A72BA1" w:rsidRDefault="00A72BA1" w:rsidP="00A72BA1">
      <w:pPr>
        <w:pStyle w:val="BodyHeading"/>
        <w:pBdr>
          <w:bottom w:val="none" w:sz="0" w:space="0" w:color="auto"/>
          <w:between w:val="none" w:sz="0" w:space="0" w:color="auto"/>
        </w:pBdr>
      </w:pPr>
      <w:r>
        <w:t>2.0</w:t>
      </w:r>
      <w:r>
        <w:tab/>
        <w:t xml:space="preserve">PURPOSE </w:t>
      </w:r>
      <w:r>
        <w:fldChar w:fldCharType="begin"/>
      </w:r>
      <w:r>
        <w:rPr>
          <w:rFonts w:ascii="Times New Roman" w:hAnsi="Times New Roman" w:cs="Times New Roman"/>
          <w:sz w:val="24"/>
          <w:szCs w:val="24"/>
        </w:rPr>
        <w:instrText>tc "</w:instrText>
      </w:r>
      <w:r>
        <w:instrText>2.0</w:instrText>
      </w:r>
      <w:r>
        <w:tab/>
        <w:instrText>PURPOSE "</w:instrText>
      </w:r>
      <w:r>
        <w:fldChar w:fldCharType="end"/>
      </w:r>
    </w:p>
    <w:p w:rsidR="00A72BA1" w:rsidRDefault="00A72BA1" w:rsidP="00A72BA1">
      <w:pPr>
        <w:pStyle w:val="paragraphspace"/>
      </w:pPr>
    </w:p>
    <w:p w:rsidR="00A72BA1" w:rsidRDefault="00A72BA1" w:rsidP="00A72BA1">
      <w:pPr>
        <w:pStyle w:val="bullets"/>
        <w:rPr>
          <w:color w:val="auto"/>
        </w:rPr>
      </w:pPr>
      <w:r>
        <w:rPr>
          <w:color w:val="auto"/>
        </w:rPr>
        <w:t xml:space="preserve">This Transportation Emergency Preparedness Program (TEPP) Model Recovery Procedure contains the recommended elements for developing and conducting recovery planning at transportation incident scene involving radiological materials.  This model procedure was developed to assist in the recovery planning for an incident involving radioactive material. </w:t>
      </w:r>
    </w:p>
    <w:p w:rsidR="00A72BA1" w:rsidRDefault="00A72BA1" w:rsidP="00A72BA1">
      <w:pPr>
        <w:pStyle w:val="BodyHeading"/>
        <w:pBdr>
          <w:bottom w:val="none" w:sz="0" w:space="0" w:color="auto"/>
          <w:between w:val="none" w:sz="0" w:space="0" w:color="auto"/>
        </w:pBdr>
      </w:pPr>
      <w:r>
        <w:t>3.0</w:t>
      </w:r>
      <w:r>
        <w:tab/>
        <w:t>SCOPE</w:t>
      </w:r>
      <w:r>
        <w:fldChar w:fldCharType="begin"/>
      </w:r>
      <w:r>
        <w:rPr>
          <w:rFonts w:ascii="Times New Roman" w:hAnsi="Times New Roman" w:cs="Times New Roman"/>
          <w:sz w:val="24"/>
          <w:szCs w:val="24"/>
        </w:rPr>
        <w:instrText>tc "</w:instrText>
      </w:r>
      <w:r>
        <w:instrText>3.0</w:instrText>
      </w:r>
      <w:r>
        <w:tab/>
        <w:instrText>SCOPE"</w:instrText>
      </w:r>
      <w:r>
        <w:fldChar w:fldCharType="end"/>
      </w:r>
    </w:p>
    <w:p w:rsidR="00A72BA1" w:rsidRDefault="00A72BA1" w:rsidP="00A72BA1">
      <w:pPr>
        <w:pStyle w:val="paragraphspace"/>
      </w:pPr>
    </w:p>
    <w:p w:rsidR="00A72BA1" w:rsidRDefault="00A72BA1" w:rsidP="00A72BA1">
      <w:pPr>
        <w:pStyle w:val="bullets"/>
        <w:rPr>
          <w:color w:val="auto"/>
        </w:rPr>
      </w:pPr>
      <w:r>
        <w:rPr>
          <w:color w:val="auto"/>
        </w:rPr>
        <w:t>This procedure applies to those personnel who have responsibilities listed in the following section.</w:t>
      </w:r>
    </w:p>
    <w:p w:rsidR="00A72BA1" w:rsidRDefault="00A72BA1" w:rsidP="00A72BA1">
      <w:pPr>
        <w:pStyle w:val="BodyHeading"/>
        <w:pBdr>
          <w:bottom w:val="none" w:sz="0" w:space="0" w:color="auto"/>
          <w:between w:val="none" w:sz="0" w:space="0" w:color="auto"/>
        </w:pBdr>
      </w:pPr>
      <w:r>
        <w:t>4.0</w:t>
      </w:r>
      <w:r>
        <w:tab/>
        <w:t>RESPONSIBILITIES</w:t>
      </w:r>
      <w:r>
        <w:fldChar w:fldCharType="begin"/>
      </w:r>
      <w:r>
        <w:rPr>
          <w:rFonts w:ascii="Times New Roman" w:hAnsi="Times New Roman" w:cs="Times New Roman"/>
          <w:sz w:val="24"/>
          <w:szCs w:val="24"/>
        </w:rPr>
        <w:instrText>tc "</w:instrText>
      </w:r>
      <w:r>
        <w:instrText>4.0</w:instrText>
      </w:r>
      <w:r>
        <w:tab/>
        <w:instrText>RESPONSIBILITIES"</w:instrText>
      </w:r>
      <w:r>
        <w:fldChar w:fldCharType="end"/>
      </w:r>
    </w:p>
    <w:p w:rsidR="00A72BA1" w:rsidRDefault="00A72BA1" w:rsidP="00A72BA1">
      <w:pPr>
        <w:pStyle w:val="paragraphspace"/>
      </w:pPr>
    </w:p>
    <w:p w:rsidR="00A72BA1" w:rsidRDefault="00A72BA1" w:rsidP="00A72BA1">
      <w:pPr>
        <w:pStyle w:val="bullets"/>
        <w:rPr>
          <w:color w:val="auto"/>
        </w:rPr>
      </w:pPr>
      <w:r>
        <w:rPr>
          <w:b/>
          <w:bCs/>
          <w:color w:val="auto"/>
        </w:rPr>
        <w:t>4.1</w:t>
      </w:r>
      <w:r>
        <w:rPr>
          <w:color w:val="auto"/>
        </w:rPr>
        <w:tab/>
      </w:r>
      <w:r>
        <w:rPr>
          <w:b/>
          <w:bCs/>
          <w:color w:val="auto"/>
        </w:rPr>
        <w:t xml:space="preserve">Emergency Communications Center </w:t>
      </w:r>
    </w:p>
    <w:p w:rsidR="00A72BA1" w:rsidRDefault="00A72BA1" w:rsidP="00A72BA1">
      <w:pPr>
        <w:pStyle w:val="bullets"/>
        <w:tabs>
          <w:tab w:val="left" w:pos="720"/>
        </w:tabs>
        <w:ind w:left="720" w:hanging="360"/>
        <w:rPr>
          <w:color w:val="auto"/>
        </w:rPr>
      </w:pPr>
      <w:r>
        <w:rPr>
          <w:color w:val="auto"/>
        </w:rPr>
        <w:tab/>
        <w:t>4.1.1</w:t>
      </w:r>
      <w:r>
        <w:rPr>
          <w:color w:val="auto"/>
        </w:rPr>
        <w:tab/>
        <w:t>Make notifications as requested by the Incident Commander.</w:t>
      </w:r>
    </w:p>
    <w:p w:rsidR="00A72BA1" w:rsidRDefault="00A72BA1" w:rsidP="00A72BA1">
      <w:pPr>
        <w:pStyle w:val="bullets"/>
        <w:tabs>
          <w:tab w:val="left" w:pos="720"/>
          <w:tab w:val="left" w:pos="1080"/>
          <w:tab w:val="left" w:pos="1440"/>
        </w:tabs>
        <w:ind w:left="1440" w:hanging="1080"/>
        <w:rPr>
          <w:color w:val="auto"/>
        </w:rPr>
      </w:pPr>
      <w:r>
        <w:rPr>
          <w:color w:val="auto"/>
        </w:rPr>
        <w:tab/>
        <w:t>4.1.2</w:t>
      </w:r>
      <w:r>
        <w:rPr>
          <w:color w:val="auto"/>
        </w:rPr>
        <w:tab/>
        <w:t>Record information as required by the Emergency Communications Center Spill Response Report Forms/Procedures.</w:t>
      </w:r>
    </w:p>
    <w:p w:rsidR="00A72BA1" w:rsidRDefault="00A72BA1" w:rsidP="00A72BA1">
      <w:pPr>
        <w:pStyle w:val="bullets"/>
        <w:rPr>
          <w:color w:val="auto"/>
        </w:rPr>
      </w:pPr>
    </w:p>
    <w:p w:rsidR="00A72BA1" w:rsidRDefault="00A72BA1" w:rsidP="00A72BA1">
      <w:pPr>
        <w:pStyle w:val="bullets"/>
        <w:rPr>
          <w:color w:val="auto"/>
        </w:rPr>
      </w:pPr>
      <w:r>
        <w:rPr>
          <w:b/>
          <w:bCs/>
          <w:color w:val="auto"/>
        </w:rPr>
        <w:t>4.2</w:t>
      </w:r>
      <w:r>
        <w:rPr>
          <w:b/>
          <w:bCs/>
          <w:color w:val="auto"/>
        </w:rPr>
        <w:tab/>
        <w:t xml:space="preserve">HMRT Senior Officer </w:t>
      </w:r>
    </w:p>
    <w:p w:rsidR="00A72BA1" w:rsidRDefault="00A72BA1" w:rsidP="00A72BA1">
      <w:pPr>
        <w:pStyle w:val="bullets"/>
        <w:tabs>
          <w:tab w:val="left" w:pos="720"/>
          <w:tab w:val="left" w:pos="1080"/>
        </w:tabs>
        <w:ind w:left="1440" w:hanging="1080"/>
        <w:rPr>
          <w:color w:val="auto"/>
        </w:rPr>
      </w:pPr>
      <w:r>
        <w:rPr>
          <w:color w:val="auto"/>
        </w:rPr>
        <w:tab/>
        <w:t>4.2.1</w:t>
      </w:r>
      <w:r>
        <w:rPr>
          <w:color w:val="auto"/>
        </w:rPr>
        <w:tab/>
        <w:t>Assist Incident Commander with incident scene communications including: shipper, carrier representatives, local fire department and state Radiation Authority or environmental protection representatives.</w:t>
      </w:r>
    </w:p>
    <w:p w:rsidR="00A72BA1" w:rsidRDefault="00A72BA1" w:rsidP="00A72BA1">
      <w:pPr>
        <w:pStyle w:val="bullets"/>
        <w:tabs>
          <w:tab w:val="left" w:pos="720"/>
          <w:tab w:val="left" w:pos="1080"/>
        </w:tabs>
        <w:ind w:left="1440" w:hanging="1080"/>
        <w:rPr>
          <w:color w:val="auto"/>
        </w:rPr>
      </w:pPr>
      <w:r>
        <w:rPr>
          <w:color w:val="auto"/>
        </w:rPr>
        <w:tab/>
        <w:t>4.2.2</w:t>
      </w:r>
      <w:r>
        <w:rPr>
          <w:color w:val="auto"/>
        </w:rPr>
        <w:tab/>
        <w:t>Assist with recovery planning and support private clean up contractor activities</w:t>
      </w:r>
    </w:p>
    <w:p w:rsidR="00A72BA1" w:rsidRDefault="00A72BA1" w:rsidP="00A72BA1">
      <w:pPr>
        <w:pStyle w:val="bullets"/>
        <w:tabs>
          <w:tab w:val="left" w:pos="720"/>
          <w:tab w:val="left" w:pos="1080"/>
        </w:tabs>
        <w:ind w:left="1440" w:hanging="1080"/>
        <w:rPr>
          <w:color w:val="auto"/>
        </w:rPr>
      </w:pPr>
      <w:r>
        <w:rPr>
          <w:color w:val="auto"/>
        </w:rPr>
        <w:tab/>
        <w:t>4.2.3</w:t>
      </w:r>
      <w:r>
        <w:rPr>
          <w:color w:val="auto"/>
        </w:rPr>
        <w:tab/>
        <w:t>Give proper turnover if a Contractor Spill Response Team is requested.</w:t>
      </w:r>
    </w:p>
    <w:p w:rsidR="00A72BA1" w:rsidRDefault="00A72BA1" w:rsidP="00A72BA1">
      <w:pPr>
        <w:pStyle w:val="bullets"/>
        <w:tabs>
          <w:tab w:val="left" w:pos="720"/>
          <w:tab w:val="left" w:pos="1080"/>
        </w:tabs>
        <w:ind w:left="1440" w:hanging="1080"/>
        <w:rPr>
          <w:color w:val="auto"/>
        </w:rPr>
      </w:pPr>
      <w:r>
        <w:rPr>
          <w:color w:val="auto"/>
        </w:rPr>
        <w:tab/>
        <w:t>4.2.4</w:t>
      </w:r>
      <w:r>
        <w:rPr>
          <w:color w:val="auto"/>
        </w:rPr>
        <w:tab/>
        <w:t>Assist in the completion of all incident documentation.</w:t>
      </w:r>
    </w:p>
    <w:p w:rsidR="00A72BA1" w:rsidRDefault="00A72BA1" w:rsidP="00A72BA1">
      <w:pPr>
        <w:pStyle w:val="bullets"/>
        <w:rPr>
          <w:color w:val="auto"/>
        </w:rPr>
      </w:pPr>
    </w:p>
    <w:p w:rsidR="00A72BA1" w:rsidRDefault="00A72BA1" w:rsidP="00A72BA1">
      <w:pPr>
        <w:pStyle w:val="bullets"/>
        <w:rPr>
          <w:color w:val="auto"/>
        </w:rPr>
      </w:pPr>
      <w:r>
        <w:rPr>
          <w:b/>
          <w:bCs/>
          <w:color w:val="auto"/>
        </w:rPr>
        <w:t>4.3</w:t>
      </w:r>
      <w:r>
        <w:rPr>
          <w:b/>
          <w:bCs/>
          <w:color w:val="auto"/>
        </w:rPr>
        <w:tab/>
        <w:t xml:space="preserve">Incident Commander </w:t>
      </w:r>
    </w:p>
    <w:p w:rsidR="00A72BA1" w:rsidRDefault="00A72BA1" w:rsidP="00A72BA1">
      <w:pPr>
        <w:pStyle w:val="bullets"/>
        <w:tabs>
          <w:tab w:val="left" w:pos="720"/>
          <w:tab w:val="left" w:pos="1080"/>
        </w:tabs>
        <w:ind w:left="1440" w:hanging="1080"/>
        <w:rPr>
          <w:color w:val="auto"/>
        </w:rPr>
      </w:pPr>
      <w:r>
        <w:rPr>
          <w:color w:val="auto"/>
        </w:rPr>
        <w:tab/>
        <w:t>4.3.1</w:t>
      </w:r>
      <w:r>
        <w:rPr>
          <w:color w:val="auto"/>
        </w:rPr>
        <w:tab/>
        <w:t>Notify the local and/or state Radiation Authority of the incident</w:t>
      </w:r>
    </w:p>
    <w:p w:rsidR="00A72BA1" w:rsidRDefault="00A72BA1" w:rsidP="00A72BA1">
      <w:pPr>
        <w:pStyle w:val="bullets"/>
        <w:tabs>
          <w:tab w:val="left" w:pos="720"/>
          <w:tab w:val="left" w:pos="1080"/>
        </w:tabs>
        <w:ind w:left="1440" w:hanging="1080"/>
        <w:rPr>
          <w:color w:val="auto"/>
        </w:rPr>
      </w:pPr>
      <w:r>
        <w:rPr>
          <w:color w:val="auto"/>
        </w:rPr>
        <w:tab/>
        <w:t>4.3.2</w:t>
      </w:r>
      <w:r>
        <w:rPr>
          <w:color w:val="auto"/>
        </w:rPr>
        <w:tab/>
        <w:t xml:space="preserve">Identify stakeholders and responsible parties </w:t>
      </w:r>
    </w:p>
    <w:p w:rsidR="00A72BA1" w:rsidRDefault="00A72BA1" w:rsidP="00A72BA1">
      <w:pPr>
        <w:pStyle w:val="bullets"/>
        <w:tabs>
          <w:tab w:val="left" w:pos="720"/>
          <w:tab w:val="left" w:pos="1080"/>
        </w:tabs>
        <w:ind w:left="1440" w:hanging="1080"/>
        <w:rPr>
          <w:color w:val="auto"/>
        </w:rPr>
      </w:pPr>
      <w:r>
        <w:rPr>
          <w:color w:val="auto"/>
        </w:rPr>
        <w:tab/>
        <w:t>4.3.3</w:t>
      </w:r>
      <w:r>
        <w:rPr>
          <w:color w:val="auto"/>
        </w:rPr>
        <w:tab/>
        <w:t xml:space="preserve">List site restoration organizations and roles </w:t>
      </w:r>
    </w:p>
    <w:p w:rsidR="00A72BA1" w:rsidRDefault="00A72BA1" w:rsidP="00A72BA1">
      <w:pPr>
        <w:pStyle w:val="bullets"/>
        <w:tabs>
          <w:tab w:val="left" w:pos="720"/>
          <w:tab w:val="left" w:pos="1080"/>
        </w:tabs>
        <w:ind w:left="1440" w:hanging="1080"/>
        <w:rPr>
          <w:color w:val="auto"/>
        </w:rPr>
      </w:pPr>
      <w:r>
        <w:rPr>
          <w:color w:val="auto"/>
        </w:rPr>
        <w:tab/>
        <w:t>4.3.4</w:t>
      </w:r>
      <w:r>
        <w:rPr>
          <w:color w:val="auto"/>
        </w:rPr>
        <w:tab/>
        <w:t xml:space="preserve">Identify radioactive material release issues </w:t>
      </w:r>
    </w:p>
    <w:p w:rsidR="00A72BA1" w:rsidRDefault="00A72BA1" w:rsidP="00A72BA1">
      <w:pPr>
        <w:pStyle w:val="bullets"/>
        <w:tabs>
          <w:tab w:val="left" w:pos="720"/>
          <w:tab w:val="left" w:pos="1080"/>
        </w:tabs>
        <w:ind w:left="1440" w:hanging="1080"/>
        <w:rPr>
          <w:color w:val="auto"/>
        </w:rPr>
      </w:pPr>
      <w:r>
        <w:rPr>
          <w:color w:val="auto"/>
        </w:rPr>
        <w:tab/>
        <w:t>4.3.5</w:t>
      </w:r>
      <w:r>
        <w:rPr>
          <w:color w:val="auto"/>
        </w:rPr>
        <w:tab/>
        <w:t xml:space="preserve">Identify potential impacts to the environment </w:t>
      </w:r>
    </w:p>
    <w:p w:rsidR="00A72BA1" w:rsidRDefault="00A72BA1" w:rsidP="00A72BA1">
      <w:pPr>
        <w:pStyle w:val="bullets"/>
        <w:tabs>
          <w:tab w:val="left" w:pos="720"/>
          <w:tab w:val="left" w:pos="1080"/>
        </w:tabs>
        <w:ind w:left="1440" w:hanging="1080"/>
        <w:rPr>
          <w:color w:val="auto"/>
        </w:rPr>
      </w:pPr>
      <w:r>
        <w:rPr>
          <w:color w:val="auto"/>
        </w:rPr>
        <w:tab/>
        <w:t>4.3.6</w:t>
      </w:r>
      <w:r>
        <w:rPr>
          <w:color w:val="auto"/>
        </w:rPr>
        <w:tab/>
        <w:t xml:space="preserve">Identify waste handling and transport requirements </w:t>
      </w:r>
    </w:p>
    <w:p w:rsidR="00A72BA1" w:rsidRDefault="00A72BA1" w:rsidP="00A72BA1">
      <w:pPr>
        <w:pStyle w:val="bullets"/>
        <w:tabs>
          <w:tab w:val="left" w:pos="720"/>
          <w:tab w:val="left" w:pos="1080"/>
        </w:tabs>
        <w:ind w:left="1440" w:hanging="1080"/>
        <w:rPr>
          <w:color w:val="auto"/>
        </w:rPr>
      </w:pPr>
      <w:r>
        <w:rPr>
          <w:color w:val="auto"/>
        </w:rPr>
        <w:tab/>
        <w:t>4.3.7</w:t>
      </w:r>
      <w:r>
        <w:rPr>
          <w:color w:val="auto"/>
        </w:rPr>
        <w:tab/>
        <w:t>Consult with the Radiation Authority and assign roles and responsibilities for coordinating incident recovery planning and mitigation</w:t>
      </w:r>
    </w:p>
    <w:p w:rsidR="00A72BA1" w:rsidRDefault="00A72BA1" w:rsidP="00A72BA1">
      <w:pPr>
        <w:pStyle w:val="bullets"/>
        <w:tabs>
          <w:tab w:val="left" w:pos="720"/>
          <w:tab w:val="left" w:pos="1080"/>
        </w:tabs>
        <w:ind w:left="1440" w:hanging="1080"/>
        <w:rPr>
          <w:color w:val="auto"/>
        </w:rPr>
      </w:pPr>
      <w:r>
        <w:rPr>
          <w:color w:val="auto"/>
        </w:rPr>
        <w:tab/>
        <w:t>4.3.8</w:t>
      </w:r>
      <w:r>
        <w:rPr>
          <w:color w:val="auto"/>
        </w:rPr>
        <w:tab/>
        <w:t>Complete of all incident documentation.</w:t>
      </w:r>
    </w:p>
    <w:p w:rsidR="00A72BA1" w:rsidRDefault="00A72BA1" w:rsidP="00A72BA1">
      <w:pPr>
        <w:pStyle w:val="BodyHeading"/>
        <w:pBdr>
          <w:bottom w:val="none" w:sz="0" w:space="0" w:color="auto"/>
          <w:between w:val="none" w:sz="0" w:space="0" w:color="auto"/>
        </w:pBdr>
      </w:pPr>
      <w:r>
        <w:t>5.0</w:t>
      </w:r>
      <w:r>
        <w:tab/>
        <w:t>RECORDS</w:t>
      </w:r>
      <w:r>
        <w:fldChar w:fldCharType="begin"/>
      </w:r>
      <w:r>
        <w:rPr>
          <w:rFonts w:ascii="Times New Roman" w:hAnsi="Times New Roman" w:cs="Times New Roman"/>
          <w:sz w:val="24"/>
          <w:szCs w:val="24"/>
        </w:rPr>
        <w:instrText>tc "</w:instrText>
      </w:r>
      <w:r>
        <w:instrText>5.0</w:instrText>
      </w:r>
      <w:r>
        <w:tab/>
        <w:instrText>RECORDS"</w:instrText>
      </w:r>
      <w:r>
        <w:fldChar w:fldCharType="end"/>
      </w:r>
    </w:p>
    <w:p w:rsidR="00A72BA1" w:rsidRDefault="00A72BA1" w:rsidP="00A72BA1">
      <w:pPr>
        <w:pStyle w:val="paragraphspace"/>
      </w:pPr>
    </w:p>
    <w:p w:rsidR="00A72BA1" w:rsidRDefault="00A72BA1" w:rsidP="00A72BA1">
      <w:pPr>
        <w:pStyle w:val="bullets"/>
        <w:rPr>
          <w:color w:val="auto"/>
        </w:rPr>
      </w:pPr>
      <w:r>
        <w:rPr>
          <w:color w:val="auto"/>
        </w:rPr>
        <w:t>All information, records, and logs accumulated during the incident should be completed, distributed, and filed for future reference.  Proper event documentation is essential when attempting to recoup equipment and material costs associated with the incident.</w:t>
      </w:r>
    </w:p>
    <w:p w:rsidR="00A72BA1" w:rsidRDefault="00A72BA1" w:rsidP="00A72BA1">
      <w:pPr>
        <w:pStyle w:val="BodyHeading"/>
        <w:pBdr>
          <w:bottom w:val="none" w:sz="0" w:space="0" w:color="auto"/>
          <w:between w:val="none" w:sz="0" w:space="0" w:color="auto"/>
        </w:pBdr>
      </w:pPr>
      <w:r>
        <w:t>6.0</w:t>
      </w:r>
      <w:r>
        <w:tab/>
        <w:t>FREQUENCY</w:t>
      </w:r>
      <w:r>
        <w:fldChar w:fldCharType="begin"/>
      </w:r>
      <w:r>
        <w:rPr>
          <w:rFonts w:ascii="Times New Roman" w:hAnsi="Times New Roman" w:cs="Times New Roman"/>
          <w:sz w:val="24"/>
          <w:szCs w:val="24"/>
        </w:rPr>
        <w:instrText>tc "</w:instrText>
      </w:r>
      <w:r>
        <w:instrText>6.0</w:instrText>
      </w:r>
      <w:r>
        <w:tab/>
        <w:instrText>FREQUENCY"</w:instrText>
      </w:r>
      <w:r>
        <w:fldChar w:fldCharType="end"/>
      </w:r>
    </w:p>
    <w:p w:rsidR="00A72BA1" w:rsidRDefault="00A72BA1" w:rsidP="00A72BA1">
      <w:pPr>
        <w:pStyle w:val="paragraphspace"/>
      </w:pPr>
    </w:p>
    <w:p w:rsidR="00A72BA1" w:rsidRDefault="00A72BA1" w:rsidP="00A72BA1">
      <w:pPr>
        <w:pStyle w:val="bullets"/>
        <w:rPr>
          <w:color w:val="auto"/>
        </w:rPr>
      </w:pPr>
      <w:r>
        <w:rPr>
          <w:color w:val="auto"/>
        </w:rPr>
        <w:t>Use this procedure as needed.</w:t>
      </w:r>
    </w:p>
    <w:p w:rsidR="00A72BA1" w:rsidRDefault="00A72BA1" w:rsidP="00A72BA1">
      <w:pPr>
        <w:pStyle w:val="BodyHeading"/>
        <w:pBdr>
          <w:bottom w:val="none" w:sz="0" w:space="0" w:color="auto"/>
          <w:between w:val="none" w:sz="0" w:space="0" w:color="auto"/>
        </w:pBdr>
      </w:pPr>
      <w:r>
        <w:t>7.0</w:t>
      </w:r>
      <w:r>
        <w:tab/>
        <w:t>Additional REFERENCES</w:t>
      </w:r>
      <w:r>
        <w:fldChar w:fldCharType="begin"/>
      </w:r>
      <w:r>
        <w:rPr>
          <w:rFonts w:ascii="Times New Roman" w:hAnsi="Times New Roman" w:cs="Times New Roman"/>
          <w:sz w:val="24"/>
          <w:szCs w:val="24"/>
        </w:rPr>
        <w:instrText>tc "</w:instrText>
      </w:r>
      <w:r>
        <w:instrText>7.0</w:instrText>
      </w:r>
      <w:r>
        <w:tab/>
        <w:instrText>Additional REFERENCES"</w:instrText>
      </w:r>
      <w:r>
        <w:fldChar w:fldCharType="end"/>
      </w:r>
    </w:p>
    <w:p w:rsidR="00A72BA1" w:rsidRDefault="00A72BA1" w:rsidP="00A72BA1">
      <w:pPr>
        <w:pStyle w:val="paragraphspace"/>
      </w:pPr>
    </w:p>
    <w:p w:rsidR="00A72BA1" w:rsidRDefault="00A72BA1" w:rsidP="00A72BA1">
      <w:pPr>
        <w:pStyle w:val="bullets"/>
        <w:tabs>
          <w:tab w:val="left" w:pos="720"/>
        </w:tabs>
        <w:ind w:left="720" w:hanging="720"/>
        <w:rPr>
          <w:color w:val="auto"/>
        </w:rPr>
      </w:pPr>
      <w:r>
        <w:rPr>
          <w:color w:val="auto"/>
        </w:rPr>
        <w:t>7.1</w:t>
      </w:r>
      <w:r>
        <w:rPr>
          <w:color w:val="auto"/>
        </w:rPr>
        <w:tab/>
        <w:t>NFPA 471 (2002) - Recommended Practice for Responding to Hazardous Materials Incidents.</w:t>
      </w:r>
    </w:p>
    <w:p w:rsidR="00A72BA1" w:rsidRDefault="00A72BA1" w:rsidP="00A72BA1">
      <w:pPr>
        <w:pStyle w:val="bullets"/>
        <w:tabs>
          <w:tab w:val="left" w:pos="720"/>
        </w:tabs>
        <w:ind w:left="720" w:hanging="720"/>
        <w:rPr>
          <w:color w:val="auto"/>
        </w:rPr>
      </w:pPr>
      <w:r>
        <w:rPr>
          <w:color w:val="auto"/>
        </w:rPr>
        <w:t>7.2</w:t>
      </w:r>
      <w:r>
        <w:rPr>
          <w:color w:val="auto"/>
        </w:rPr>
        <w:tab/>
        <w:t>NFPA 472 (2002) - Standard for Professional Competence of Responders to Hazardous Materials Incidents.</w:t>
      </w:r>
    </w:p>
    <w:p w:rsidR="00A72BA1" w:rsidRDefault="00A72BA1" w:rsidP="00A72BA1">
      <w:pPr>
        <w:pStyle w:val="bullets"/>
        <w:tabs>
          <w:tab w:val="left" w:pos="720"/>
        </w:tabs>
        <w:ind w:left="720" w:hanging="720"/>
        <w:rPr>
          <w:color w:val="auto"/>
        </w:rPr>
      </w:pPr>
      <w:r>
        <w:rPr>
          <w:color w:val="auto"/>
        </w:rPr>
        <w:t>7.3</w:t>
      </w:r>
      <w:r>
        <w:rPr>
          <w:color w:val="auto"/>
        </w:rPr>
        <w:tab/>
        <w:t>CFR 835.1302 - Emergency Exposure Situations</w:t>
      </w:r>
    </w:p>
    <w:p w:rsidR="00A72BA1" w:rsidRDefault="00A72BA1" w:rsidP="00A72BA1">
      <w:pPr>
        <w:pStyle w:val="bullets"/>
        <w:tabs>
          <w:tab w:val="left" w:pos="720"/>
        </w:tabs>
        <w:ind w:left="720" w:hanging="720"/>
        <w:rPr>
          <w:color w:val="auto"/>
        </w:rPr>
      </w:pPr>
      <w:r>
        <w:rPr>
          <w:color w:val="auto"/>
        </w:rPr>
        <w:t>7.4</w:t>
      </w:r>
      <w:r>
        <w:rPr>
          <w:color w:val="auto"/>
        </w:rPr>
        <w:tab/>
        <w:t>CFR 1910.120 - Hazardous Waste Operations and Emergency Response</w:t>
      </w:r>
    </w:p>
    <w:p w:rsidR="00A72BA1" w:rsidRDefault="00A72BA1" w:rsidP="00A72BA1">
      <w:pPr>
        <w:pStyle w:val="bullets"/>
        <w:tabs>
          <w:tab w:val="left" w:pos="720"/>
        </w:tabs>
        <w:ind w:left="720" w:hanging="720"/>
        <w:rPr>
          <w:color w:val="auto"/>
        </w:rPr>
      </w:pPr>
      <w:r>
        <w:rPr>
          <w:color w:val="auto"/>
        </w:rPr>
        <w:t>7.5</w:t>
      </w:r>
      <w:r>
        <w:rPr>
          <w:color w:val="auto"/>
        </w:rPr>
        <w:tab/>
        <w:t>DOT Emergency Response Guidebook</w:t>
      </w:r>
    </w:p>
    <w:p w:rsidR="00A72BA1" w:rsidRDefault="00A72BA1" w:rsidP="00A72BA1">
      <w:pPr>
        <w:pStyle w:val="bullets"/>
        <w:tabs>
          <w:tab w:val="left" w:pos="720"/>
        </w:tabs>
        <w:ind w:left="720" w:hanging="720"/>
        <w:rPr>
          <w:color w:val="auto"/>
        </w:rPr>
      </w:pPr>
      <w:r>
        <w:rPr>
          <w:color w:val="auto"/>
        </w:rPr>
        <w:t>7.6</w:t>
      </w:r>
      <w:r>
        <w:rPr>
          <w:color w:val="auto"/>
        </w:rPr>
        <w:tab/>
        <w:t>US Environmental Protection Agency - Standard Operating Safety Guide</w:t>
      </w:r>
    </w:p>
    <w:p w:rsidR="00A72BA1" w:rsidRDefault="00A72BA1" w:rsidP="00A72BA1">
      <w:pPr>
        <w:pStyle w:val="bullets"/>
        <w:tabs>
          <w:tab w:val="left" w:pos="720"/>
        </w:tabs>
        <w:ind w:left="720" w:hanging="720"/>
        <w:rPr>
          <w:color w:val="auto"/>
        </w:rPr>
      </w:pPr>
      <w:r>
        <w:rPr>
          <w:color w:val="auto"/>
        </w:rPr>
        <w:t>7.7</w:t>
      </w:r>
      <w:r>
        <w:rPr>
          <w:color w:val="auto"/>
        </w:rPr>
        <w:tab/>
        <w:t>International Association of Firefighters - Training for Hazardous Materials Emergency Response</w:t>
      </w:r>
    </w:p>
    <w:p w:rsidR="00A72BA1" w:rsidRDefault="00A72BA1" w:rsidP="00A72BA1">
      <w:pPr>
        <w:pStyle w:val="bullets"/>
        <w:tabs>
          <w:tab w:val="left" w:pos="720"/>
        </w:tabs>
        <w:ind w:left="720" w:hanging="720"/>
        <w:rPr>
          <w:color w:val="auto"/>
        </w:rPr>
      </w:pPr>
      <w:r>
        <w:rPr>
          <w:color w:val="auto"/>
        </w:rPr>
        <w:t>7.8</w:t>
      </w:r>
      <w:r>
        <w:rPr>
          <w:color w:val="auto"/>
        </w:rPr>
        <w:tab/>
        <w:t>MSDS Pocket Dictionary - JJ Keller 1995</w:t>
      </w:r>
    </w:p>
    <w:p w:rsidR="00A72BA1" w:rsidRDefault="00A72BA1" w:rsidP="00A72BA1">
      <w:pPr>
        <w:pStyle w:val="bullets"/>
        <w:tabs>
          <w:tab w:val="left" w:pos="720"/>
        </w:tabs>
        <w:ind w:left="720" w:hanging="720"/>
        <w:rPr>
          <w:color w:val="auto"/>
        </w:rPr>
      </w:pPr>
      <w:r>
        <w:rPr>
          <w:color w:val="auto"/>
        </w:rPr>
        <w:t>7.9</w:t>
      </w:r>
      <w:r>
        <w:rPr>
          <w:color w:val="auto"/>
        </w:rPr>
        <w:tab/>
        <w:t>Transport of Radioactive Materials Q&amp;A -Oak Ridge Associated Universities</w:t>
      </w:r>
    </w:p>
    <w:p w:rsidR="00A72BA1" w:rsidRDefault="00A72BA1" w:rsidP="00A72BA1">
      <w:pPr>
        <w:pStyle w:val="bullets"/>
        <w:tabs>
          <w:tab w:val="left" w:pos="720"/>
        </w:tabs>
        <w:ind w:left="720" w:hanging="720"/>
        <w:rPr>
          <w:color w:val="auto"/>
        </w:rPr>
      </w:pPr>
      <w:r>
        <w:rPr>
          <w:color w:val="auto"/>
        </w:rPr>
        <w:t>7.10</w:t>
      </w:r>
      <w:r>
        <w:rPr>
          <w:color w:val="auto"/>
        </w:rPr>
        <w:tab/>
        <w:t>Guidance for Developing State, Tribal and Local Radiological Emergency Response Planning and Preparedness for Transportation Accidents – Federal Emergency Management Agency - 1992</w:t>
      </w:r>
    </w:p>
    <w:p w:rsidR="00A72BA1" w:rsidRDefault="00A72BA1" w:rsidP="00A72BA1">
      <w:pPr>
        <w:pStyle w:val="BodyHeading"/>
        <w:pBdr>
          <w:bottom w:val="none" w:sz="0" w:space="0" w:color="auto"/>
          <w:between w:val="none" w:sz="0" w:space="0" w:color="auto"/>
        </w:pBdr>
      </w:pPr>
      <w:r>
        <w:t>8.0</w:t>
      </w:r>
      <w:r>
        <w:tab/>
        <w:t>SAFETY</w:t>
      </w:r>
      <w:r>
        <w:fldChar w:fldCharType="begin"/>
      </w:r>
      <w:r>
        <w:rPr>
          <w:rFonts w:ascii="Times New Roman" w:hAnsi="Times New Roman" w:cs="Times New Roman"/>
          <w:sz w:val="24"/>
          <w:szCs w:val="24"/>
        </w:rPr>
        <w:instrText>tc "</w:instrText>
      </w:r>
      <w:r>
        <w:instrText>8.0</w:instrText>
      </w:r>
      <w:r>
        <w:tab/>
        <w:instrText>SAFETY"</w:instrText>
      </w:r>
      <w:r>
        <w:fldChar w:fldCharType="end"/>
      </w:r>
    </w:p>
    <w:p w:rsidR="00A72BA1" w:rsidRDefault="00A72BA1" w:rsidP="00A72BA1">
      <w:pPr>
        <w:pStyle w:val="paragraphspace"/>
      </w:pPr>
    </w:p>
    <w:p w:rsidR="00A72BA1" w:rsidRDefault="00A72BA1" w:rsidP="00A72BA1">
      <w:pPr>
        <w:pStyle w:val="bullets"/>
        <w:tabs>
          <w:tab w:val="left" w:pos="720"/>
        </w:tabs>
        <w:ind w:left="720" w:hanging="720"/>
        <w:rPr>
          <w:color w:val="auto"/>
        </w:rPr>
      </w:pPr>
      <w:r>
        <w:rPr>
          <w:color w:val="auto"/>
        </w:rPr>
        <w:t>8.1</w:t>
      </w:r>
      <w:r>
        <w:rPr>
          <w:color w:val="auto"/>
        </w:rPr>
        <w:tab/>
        <w:t>Work within federal regulations, safety guidelines and standard operating procedures.</w:t>
      </w:r>
    </w:p>
    <w:p w:rsidR="00A72BA1" w:rsidRDefault="00A72BA1" w:rsidP="00A72BA1">
      <w:pPr>
        <w:pStyle w:val="bullets"/>
        <w:tabs>
          <w:tab w:val="left" w:pos="720"/>
        </w:tabs>
        <w:ind w:left="720" w:hanging="720"/>
        <w:rPr>
          <w:color w:val="auto"/>
        </w:rPr>
      </w:pPr>
      <w:r>
        <w:rPr>
          <w:color w:val="auto"/>
        </w:rPr>
        <w:t>8.2</w:t>
      </w:r>
      <w:r>
        <w:rPr>
          <w:color w:val="auto"/>
        </w:rPr>
        <w:tab/>
        <w:t>Involve appropriate shipper, carrier, federal, state, tribal or local officials to assist in incident evaluation and mitigation.</w:t>
      </w:r>
    </w:p>
    <w:p w:rsidR="00A72BA1" w:rsidRDefault="00A72BA1" w:rsidP="00A72BA1">
      <w:pPr>
        <w:pStyle w:val="bullets"/>
        <w:tabs>
          <w:tab w:val="left" w:pos="720"/>
        </w:tabs>
        <w:ind w:left="720" w:hanging="720"/>
        <w:rPr>
          <w:color w:val="auto"/>
        </w:rPr>
      </w:pPr>
      <w:r>
        <w:rPr>
          <w:color w:val="auto"/>
        </w:rPr>
        <w:t>8.3</w:t>
      </w:r>
      <w:r>
        <w:rPr>
          <w:color w:val="auto"/>
        </w:rPr>
        <w:tab/>
        <w:t>The on the scene Safety Officer has the authority to stop any work in which safety related items may be an issue.</w:t>
      </w:r>
    </w:p>
    <w:p w:rsidR="00A72BA1" w:rsidRDefault="00A72BA1" w:rsidP="00A72BA1">
      <w:pPr>
        <w:pStyle w:val="BodyHeading"/>
        <w:pBdr>
          <w:bottom w:val="none" w:sz="0" w:space="0" w:color="auto"/>
          <w:between w:val="none" w:sz="0" w:space="0" w:color="auto"/>
        </w:pBdr>
      </w:pPr>
      <w:r>
        <w:t>9.0</w:t>
      </w:r>
      <w:r>
        <w:tab/>
        <w:t xml:space="preserve">RECOVERY PROCEDURE </w:t>
      </w:r>
      <w:r>
        <w:fldChar w:fldCharType="begin"/>
      </w:r>
      <w:r>
        <w:rPr>
          <w:rFonts w:ascii="Times New Roman" w:hAnsi="Times New Roman" w:cs="Times New Roman"/>
          <w:sz w:val="24"/>
          <w:szCs w:val="24"/>
        </w:rPr>
        <w:instrText>tc "</w:instrText>
      </w:r>
      <w:r>
        <w:instrText>9.0</w:instrText>
      </w:r>
      <w:r>
        <w:tab/>
        <w:instrText>RECOVERY PROCEDURE "</w:instrText>
      </w:r>
      <w:r>
        <w:fldChar w:fldCharType="end"/>
      </w:r>
    </w:p>
    <w:p w:rsidR="00A72BA1" w:rsidRDefault="00A72BA1" w:rsidP="00A72BA1">
      <w:pPr>
        <w:pStyle w:val="paragraphspace"/>
      </w:pPr>
    </w:p>
    <w:p w:rsidR="00A72BA1" w:rsidRDefault="00A72BA1" w:rsidP="00A72BA1">
      <w:pPr>
        <w:pStyle w:val="bullets"/>
        <w:tabs>
          <w:tab w:val="left" w:pos="720"/>
        </w:tabs>
        <w:ind w:left="720" w:hanging="720"/>
        <w:jc w:val="both"/>
        <w:rPr>
          <w:color w:val="auto"/>
        </w:rPr>
      </w:pPr>
      <w:r>
        <w:rPr>
          <w:color w:val="auto"/>
        </w:rPr>
        <w:t>1.</w:t>
      </w:r>
      <w:r>
        <w:rPr>
          <w:color w:val="auto"/>
        </w:rPr>
        <w:tab/>
        <w:t>List the type, quantity, form, and extent of hazardous material (radioactive material) released.</w:t>
      </w:r>
    </w:p>
    <w:p w:rsidR="00A72BA1" w:rsidRDefault="00A72BA1" w:rsidP="00A72BA1">
      <w:pPr>
        <w:pStyle w:val="105ptbodytext"/>
        <w:rPr>
          <w:color w:val="auto"/>
        </w:rPr>
      </w:pPr>
      <w:r>
        <w:rPr>
          <w:color w:val="auto"/>
        </w:rPr>
        <w:t>________________________________________________________________________________________________________________________________________________</w:t>
      </w:r>
    </w:p>
    <w:p w:rsidR="00A72BA1" w:rsidRDefault="00A72BA1" w:rsidP="00A72BA1">
      <w:pPr>
        <w:pStyle w:val="105ptbodytext"/>
        <w:rPr>
          <w:color w:val="auto"/>
        </w:rPr>
      </w:pPr>
      <w:r>
        <w:rPr>
          <w:color w:val="auto"/>
        </w:rPr>
        <w:t>________________________________________________________________________________________________________________________________________________</w:t>
      </w:r>
    </w:p>
    <w:p w:rsidR="00A72BA1" w:rsidRDefault="00A72BA1" w:rsidP="00A72BA1">
      <w:pPr>
        <w:pStyle w:val="105ptbodytext"/>
        <w:rPr>
          <w:color w:val="auto"/>
        </w:rPr>
      </w:pPr>
      <w:r>
        <w:rPr>
          <w:color w:val="auto"/>
        </w:rPr>
        <w:t>________________________________________________________________________________________________________________________________________________</w:t>
      </w:r>
    </w:p>
    <w:p w:rsidR="00A72BA1" w:rsidRDefault="00A72BA1" w:rsidP="00A72BA1">
      <w:pPr>
        <w:pStyle w:val="105ptbodytext"/>
        <w:rPr>
          <w:color w:val="auto"/>
        </w:rPr>
      </w:pPr>
      <w:r>
        <w:rPr>
          <w:color w:val="auto"/>
        </w:rPr>
        <w:t>________________________________________________________________________________________________________________________________________________</w:t>
      </w:r>
    </w:p>
    <w:p w:rsidR="00A72BA1" w:rsidRDefault="00A72BA1" w:rsidP="00A72BA1">
      <w:pPr>
        <w:pStyle w:val="105ptbodytext"/>
        <w:rPr>
          <w:color w:val="auto"/>
        </w:rPr>
      </w:pPr>
      <w:r>
        <w:rPr>
          <w:color w:val="auto"/>
        </w:rPr>
        <w:lastRenderedPageBreak/>
        <w:t>________________________________________________________________________________________________________________________________________________</w:t>
      </w:r>
    </w:p>
    <w:p w:rsidR="00A72BA1" w:rsidRDefault="00A72BA1" w:rsidP="00A72BA1">
      <w:pPr>
        <w:pStyle w:val="105ptbodytext"/>
        <w:rPr>
          <w:color w:val="auto"/>
        </w:rPr>
      </w:pPr>
      <w:r>
        <w:rPr>
          <w:color w:val="auto"/>
        </w:rPr>
        <w:t>________________________________________________________________________________________________________________________________________________</w:t>
      </w: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r w:rsidRPr="00A72BA1">
        <w:rPr>
          <w:rFonts w:ascii="Cheltenham" w:hAnsi="Cheltenham" w:cs="Cheltenham"/>
          <w:sz w:val="21"/>
          <w:szCs w:val="21"/>
        </w:rPr>
        <w:t>2.</w:t>
      </w:r>
      <w:r w:rsidRPr="00A72BA1">
        <w:rPr>
          <w:rFonts w:ascii="Cheltenham" w:hAnsi="Cheltenham" w:cs="Cheltenham"/>
          <w:sz w:val="21"/>
          <w:szCs w:val="21"/>
        </w:rPr>
        <w:tab/>
        <w:t xml:space="preserve">Document the location, isolation, and collection techniques used to contain all released/spilled hazardous material (radioactive material). </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0" w:line="280" w:lineRule="atLeast"/>
        <w:rPr>
          <w:rFonts w:ascii="Cheltenham" w:hAnsi="Cheltenham" w:cs="Cheltenham"/>
          <w:sz w:val="21"/>
          <w:szCs w:val="21"/>
        </w:rPr>
      </w:pP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r w:rsidRPr="00A72BA1">
        <w:rPr>
          <w:rFonts w:ascii="Cheltenham" w:hAnsi="Cheltenham" w:cs="Cheltenham"/>
          <w:sz w:val="21"/>
          <w:szCs w:val="21"/>
        </w:rPr>
        <w:t>3.</w:t>
      </w:r>
      <w:r w:rsidRPr="00A72BA1">
        <w:rPr>
          <w:rFonts w:ascii="Cheltenham" w:hAnsi="Cheltenham" w:cs="Cheltenham"/>
          <w:sz w:val="21"/>
          <w:szCs w:val="21"/>
        </w:rPr>
        <w:tab/>
        <w:t>Identify sampling procedures, processes, methods, and analysis including identification of analytical labs and protocols that are being used to mitigate the accident.</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0" w:line="280" w:lineRule="atLeast"/>
        <w:ind w:left="720"/>
        <w:jc w:val="both"/>
        <w:rPr>
          <w:rFonts w:ascii="Cheltenham" w:hAnsi="Cheltenham" w:cs="Cheltenham"/>
          <w:sz w:val="21"/>
          <w:szCs w:val="21"/>
        </w:rPr>
      </w:pP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r w:rsidRPr="00A72BA1">
        <w:rPr>
          <w:rFonts w:ascii="Cheltenham" w:hAnsi="Cheltenham" w:cs="Cheltenham"/>
          <w:sz w:val="21"/>
          <w:szCs w:val="21"/>
        </w:rPr>
        <w:t>4.</w:t>
      </w:r>
      <w:r w:rsidRPr="00A72BA1">
        <w:rPr>
          <w:rFonts w:ascii="Cheltenham" w:hAnsi="Cheltenham" w:cs="Cheltenham"/>
          <w:sz w:val="21"/>
          <w:szCs w:val="21"/>
        </w:rPr>
        <w:tab/>
        <w:t xml:space="preserve">Develop a listing of key agencies, responsible persons, and stakeholders that are participating in the recovery planning and mitigation process. </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r w:rsidRPr="00A72BA1">
        <w:rPr>
          <w:rFonts w:ascii="Cheltenham" w:hAnsi="Cheltenham" w:cs="Cheltenham"/>
          <w:sz w:val="21"/>
          <w:szCs w:val="21"/>
        </w:rPr>
        <w:t>5.</w:t>
      </w:r>
      <w:r w:rsidRPr="00A72BA1">
        <w:rPr>
          <w:rFonts w:ascii="Cheltenham" w:hAnsi="Cheltenham" w:cs="Cheltenham"/>
          <w:sz w:val="21"/>
          <w:szCs w:val="21"/>
        </w:rPr>
        <w:tab/>
        <w:t xml:space="preserve">List monitoring and </w:t>
      </w:r>
      <w:proofErr w:type="spellStart"/>
      <w:r w:rsidRPr="00A72BA1">
        <w:rPr>
          <w:rFonts w:ascii="Cheltenham" w:hAnsi="Cheltenham" w:cs="Cheltenham"/>
          <w:sz w:val="21"/>
          <w:szCs w:val="21"/>
        </w:rPr>
        <w:t>dosimetry</w:t>
      </w:r>
      <w:proofErr w:type="spellEnd"/>
      <w:r w:rsidRPr="00A72BA1">
        <w:rPr>
          <w:rFonts w:ascii="Cheltenham" w:hAnsi="Cheltenham" w:cs="Cheltenham"/>
          <w:sz w:val="21"/>
          <w:szCs w:val="21"/>
        </w:rPr>
        <w:t xml:space="preserve"> needs and </w:t>
      </w:r>
      <w:proofErr w:type="gramStart"/>
      <w:r w:rsidRPr="00A72BA1">
        <w:rPr>
          <w:rFonts w:ascii="Cheltenham" w:hAnsi="Cheltenham" w:cs="Cheltenham"/>
          <w:sz w:val="21"/>
          <w:szCs w:val="21"/>
        </w:rPr>
        <w:t>agency(</w:t>
      </w:r>
      <w:proofErr w:type="spellStart"/>
      <w:proofErr w:type="gramEnd"/>
      <w:r w:rsidRPr="00A72BA1">
        <w:rPr>
          <w:rFonts w:ascii="Cheltenham" w:hAnsi="Cheltenham" w:cs="Cheltenham"/>
          <w:sz w:val="21"/>
          <w:szCs w:val="21"/>
        </w:rPr>
        <w:t>ies</w:t>
      </w:r>
      <w:proofErr w:type="spellEnd"/>
      <w:r w:rsidRPr="00A72BA1">
        <w:rPr>
          <w:rFonts w:ascii="Cheltenham" w:hAnsi="Cheltenham" w:cs="Cheltenham"/>
          <w:sz w:val="21"/>
          <w:szCs w:val="21"/>
        </w:rPr>
        <w:t>) providing support.</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r w:rsidRPr="00A72BA1">
        <w:rPr>
          <w:rFonts w:ascii="Cheltenham" w:hAnsi="Cheltenham" w:cs="Cheltenham"/>
          <w:sz w:val="21"/>
          <w:szCs w:val="21"/>
        </w:rPr>
        <w:t>6.</w:t>
      </w:r>
      <w:r w:rsidRPr="00A72BA1">
        <w:rPr>
          <w:rFonts w:ascii="Cheltenham" w:hAnsi="Cheltenham" w:cs="Cheltenham"/>
          <w:sz w:val="21"/>
          <w:szCs w:val="21"/>
        </w:rPr>
        <w:tab/>
        <w:t>List organizations participating in incident scene restoration (cleanup contractors or other agencies that have radiological experience and necessary licensing).</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r w:rsidRPr="00A72BA1">
        <w:rPr>
          <w:rFonts w:ascii="Cheltenham" w:hAnsi="Cheltenham" w:cs="Cheltenham"/>
          <w:sz w:val="21"/>
          <w:szCs w:val="21"/>
        </w:rPr>
        <w:t>7.</w:t>
      </w:r>
      <w:r w:rsidRPr="00A72BA1">
        <w:rPr>
          <w:rFonts w:ascii="Cheltenham" w:hAnsi="Cheltenham" w:cs="Cheltenham"/>
          <w:sz w:val="21"/>
          <w:szCs w:val="21"/>
        </w:rPr>
        <w:tab/>
        <w:t>Identify the potential impact to the environment and address special concerns relative to location and proximity to sensitive cultural, ecological, or population areas.</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lastRenderedPageBreak/>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r w:rsidRPr="00A72BA1">
        <w:rPr>
          <w:rFonts w:ascii="Cheltenham" w:hAnsi="Cheltenham" w:cs="Cheltenham"/>
          <w:sz w:val="21"/>
          <w:szCs w:val="21"/>
        </w:rPr>
        <w:t>8.</w:t>
      </w:r>
      <w:r w:rsidRPr="00A72BA1">
        <w:rPr>
          <w:rFonts w:ascii="Cheltenham" w:hAnsi="Cheltenham" w:cs="Cheltenham"/>
          <w:sz w:val="21"/>
          <w:szCs w:val="21"/>
        </w:rPr>
        <w:tab/>
        <w:t>During the restoration activities, document any identified secondary contamination of soil, water, plants, and/or other adverse environmental conditions.</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color w:val="008080"/>
          <w:sz w:val="21"/>
          <w:szCs w:val="21"/>
        </w:rPr>
      </w:pP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r w:rsidRPr="00A72BA1">
        <w:rPr>
          <w:rFonts w:ascii="Cheltenham" w:hAnsi="Cheltenham" w:cs="Cheltenham"/>
          <w:color w:val="000000"/>
          <w:sz w:val="21"/>
          <w:szCs w:val="21"/>
        </w:rPr>
        <w:t>9.</w:t>
      </w:r>
      <w:r w:rsidRPr="00A72BA1">
        <w:rPr>
          <w:rFonts w:ascii="Cheltenham" w:hAnsi="Cheltenham" w:cs="Cheltenham"/>
          <w:color w:val="000000"/>
          <w:sz w:val="21"/>
          <w:szCs w:val="21"/>
        </w:rPr>
        <w:tab/>
        <w:t>List waste handling and transportation regulatory requirements, including permits, manifest requirements, and the disposal site(s) locations.</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r w:rsidRPr="00A72BA1">
        <w:rPr>
          <w:rFonts w:ascii="Cheltenham" w:hAnsi="Cheltenham" w:cs="Cheltenham"/>
          <w:sz w:val="21"/>
          <w:szCs w:val="21"/>
        </w:rPr>
        <w:t>10.</w:t>
      </w:r>
      <w:r w:rsidRPr="00A72BA1">
        <w:rPr>
          <w:rFonts w:ascii="Cheltenham" w:hAnsi="Cheltenham" w:cs="Cheltenham"/>
          <w:sz w:val="21"/>
          <w:szCs w:val="21"/>
        </w:rPr>
        <w:tab/>
        <w:t>List cleanup contractor or state implementing procedure objectives for handling, storing, and transporting contaminated waste to a disposal location.</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tabs>
          <w:tab w:val="left" w:pos="720"/>
        </w:tabs>
        <w:autoSpaceDE w:val="0"/>
        <w:autoSpaceDN w:val="0"/>
        <w:adjustRightInd w:val="0"/>
        <w:spacing w:after="0" w:line="280" w:lineRule="atLeast"/>
        <w:ind w:left="720" w:hanging="360"/>
        <w:jc w:val="both"/>
        <w:rPr>
          <w:rFonts w:ascii="Cheltenham" w:hAnsi="Cheltenham" w:cs="Cheltenham"/>
          <w:sz w:val="21"/>
          <w:szCs w:val="21"/>
        </w:rPr>
      </w:pPr>
      <w:proofErr w:type="gramStart"/>
      <w:r w:rsidRPr="00A72BA1">
        <w:rPr>
          <w:rFonts w:ascii="Cheltenham" w:hAnsi="Cheltenham" w:cs="Cheltenham"/>
          <w:sz w:val="21"/>
          <w:szCs w:val="21"/>
        </w:rPr>
        <w:t>original</w:t>
      </w:r>
      <w:proofErr w:type="gramEnd"/>
      <w:r w:rsidRPr="00A72BA1">
        <w:rPr>
          <w:rFonts w:ascii="Cheltenham" w:hAnsi="Cheltenham" w:cs="Cheltenham"/>
          <w:sz w:val="21"/>
          <w:szCs w:val="21"/>
        </w:rPr>
        <w:t xml:space="preserve"> packaging.  If additional packaging is needed, list package size requirements, equipment needed for lifting, handling waste containers and hauling requirements.  </w:t>
      </w:r>
    </w:p>
    <w:p w:rsidR="00A72BA1" w:rsidRPr="00A72BA1" w:rsidRDefault="00A72BA1" w:rsidP="00A72BA1">
      <w:pPr>
        <w:autoSpaceDE w:val="0"/>
        <w:autoSpaceDN w:val="0"/>
        <w:adjustRightInd w:val="0"/>
        <w:spacing w:after="0" w:line="280" w:lineRule="atLeast"/>
        <w:jc w:val="both"/>
        <w:rPr>
          <w:rFonts w:ascii="Cheltenham" w:hAnsi="Cheltenham" w:cs="Cheltenham"/>
          <w:sz w:val="21"/>
          <w:szCs w:val="21"/>
        </w:rPr>
      </w:pPr>
    </w:p>
    <w:p w:rsidR="00A72BA1" w:rsidRPr="00A72BA1" w:rsidRDefault="00A72BA1" w:rsidP="00A72BA1">
      <w:pPr>
        <w:autoSpaceDE w:val="0"/>
        <w:autoSpaceDN w:val="0"/>
        <w:adjustRightInd w:val="0"/>
        <w:spacing w:after="0" w:line="280" w:lineRule="atLeast"/>
        <w:ind w:left="720"/>
        <w:jc w:val="both"/>
        <w:rPr>
          <w:rFonts w:ascii="Cheltenham" w:hAnsi="Cheltenham" w:cs="Cheltenham"/>
          <w:sz w:val="21"/>
          <w:szCs w:val="21"/>
        </w:rPr>
      </w:pPr>
      <w:r w:rsidRPr="00A72BA1">
        <w:rPr>
          <w:rFonts w:ascii="Cheltenham" w:hAnsi="Cheltenham" w:cs="Cheltenham"/>
          <w:sz w:val="21"/>
          <w:szCs w:val="21"/>
        </w:rPr>
        <w:t>Note: work with Radiation Authority to ensure that any repackaged radioactive material is packaged and transported in compliance with applicable state and federal regulations.</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0" w:line="280" w:lineRule="atLeast"/>
        <w:ind w:left="720"/>
        <w:jc w:val="both"/>
        <w:rPr>
          <w:rFonts w:ascii="Cheltenham" w:hAnsi="Cheltenham" w:cs="Cheltenham"/>
          <w:sz w:val="21"/>
          <w:szCs w:val="21"/>
        </w:rPr>
      </w:pP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r w:rsidRPr="00A72BA1">
        <w:rPr>
          <w:rFonts w:ascii="Cheltenham" w:hAnsi="Cheltenham" w:cs="Cheltenham"/>
          <w:sz w:val="21"/>
          <w:szCs w:val="21"/>
        </w:rPr>
        <w:t>12.</w:t>
      </w:r>
      <w:r w:rsidRPr="00A72BA1">
        <w:rPr>
          <w:rFonts w:ascii="Cheltenham" w:hAnsi="Cheltenham" w:cs="Cheltenham"/>
          <w:sz w:val="21"/>
          <w:szCs w:val="21"/>
        </w:rPr>
        <w:tab/>
        <w:t xml:space="preserve">Consult with local, state and federal authorities and determine organizations responsible for completion and proper maintenance of incident scene documentation including accident response activities reports, personnel accountability and exposure records. </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p>
    <w:p w:rsidR="00A72BA1" w:rsidRPr="00A72BA1" w:rsidRDefault="00A72BA1" w:rsidP="00A72BA1">
      <w:pPr>
        <w:keepNext/>
        <w:tabs>
          <w:tab w:val="left" w:pos="720"/>
          <w:tab w:val="right" w:pos="8640"/>
        </w:tabs>
        <w:autoSpaceDE w:val="0"/>
        <w:autoSpaceDN w:val="0"/>
        <w:adjustRightInd w:val="0"/>
        <w:spacing w:after="0" w:line="280" w:lineRule="atLeast"/>
        <w:ind w:left="720" w:hanging="720"/>
        <w:jc w:val="both"/>
        <w:rPr>
          <w:rFonts w:ascii="Cheltenham" w:hAnsi="Cheltenham" w:cs="Cheltenham"/>
          <w:sz w:val="21"/>
          <w:szCs w:val="21"/>
        </w:rPr>
      </w:pPr>
      <w:r w:rsidRPr="00A72BA1">
        <w:rPr>
          <w:rFonts w:ascii="Cheltenham" w:hAnsi="Cheltenham" w:cs="Cheltenham"/>
          <w:sz w:val="21"/>
          <w:szCs w:val="21"/>
        </w:rPr>
        <w:t>13.</w:t>
      </w:r>
      <w:r w:rsidRPr="00A72BA1">
        <w:rPr>
          <w:rFonts w:ascii="Cheltenham" w:hAnsi="Cheltenham" w:cs="Cheltenham"/>
          <w:sz w:val="21"/>
          <w:szCs w:val="21"/>
        </w:rPr>
        <w:tab/>
        <w:t>Consult with the Radiation Authority and emergency medical service director to identify the need for follow-up actions including bioassay sampling to detect internal contamination or assistance of specialized professionals for continued medical surveillance.</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keepNext/>
        <w:tabs>
          <w:tab w:val="left" w:pos="720"/>
          <w:tab w:val="right" w:pos="8640"/>
        </w:tabs>
        <w:autoSpaceDE w:val="0"/>
        <w:autoSpaceDN w:val="0"/>
        <w:adjustRightInd w:val="0"/>
        <w:spacing w:after="0" w:line="280" w:lineRule="atLeast"/>
        <w:ind w:left="720" w:hanging="720"/>
        <w:jc w:val="both"/>
        <w:rPr>
          <w:rFonts w:ascii="Cheltenham" w:hAnsi="Cheltenham" w:cs="Cheltenham"/>
          <w:sz w:val="21"/>
          <w:szCs w:val="21"/>
        </w:rPr>
      </w:pP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p>
    <w:p w:rsidR="00A72BA1" w:rsidRPr="00A72BA1" w:rsidRDefault="00A72BA1" w:rsidP="00A72BA1">
      <w:pPr>
        <w:tabs>
          <w:tab w:val="left" w:pos="720"/>
        </w:tabs>
        <w:autoSpaceDE w:val="0"/>
        <w:autoSpaceDN w:val="0"/>
        <w:adjustRightInd w:val="0"/>
        <w:spacing w:after="0" w:line="280" w:lineRule="atLeast"/>
        <w:ind w:left="720" w:hanging="720"/>
        <w:jc w:val="both"/>
        <w:rPr>
          <w:rFonts w:ascii="Cheltenham" w:hAnsi="Cheltenham" w:cs="Cheltenham"/>
          <w:sz w:val="21"/>
          <w:szCs w:val="21"/>
        </w:rPr>
      </w:pPr>
      <w:r w:rsidRPr="00A72BA1">
        <w:rPr>
          <w:rFonts w:ascii="Cheltenham" w:hAnsi="Cheltenham" w:cs="Cheltenham"/>
          <w:sz w:val="21"/>
          <w:szCs w:val="21"/>
        </w:rPr>
        <w:t>14.</w:t>
      </w:r>
      <w:r w:rsidRPr="00A72BA1">
        <w:rPr>
          <w:rFonts w:ascii="Cheltenham" w:hAnsi="Cheltenham" w:cs="Cheltenham"/>
          <w:sz w:val="21"/>
          <w:szCs w:val="21"/>
        </w:rPr>
        <w:tab/>
        <w:t xml:space="preserve">Work with the state or local Radiation Authority to develop a listing of equipment that requires replacement because it </w:t>
      </w:r>
      <w:proofErr w:type="spellStart"/>
      <w:r w:rsidRPr="00A72BA1">
        <w:rPr>
          <w:rFonts w:ascii="Cheltenham" w:hAnsi="Cheltenham" w:cs="Cheltenham"/>
          <w:sz w:val="21"/>
          <w:szCs w:val="21"/>
        </w:rPr>
        <w:t>can not</w:t>
      </w:r>
      <w:proofErr w:type="spellEnd"/>
      <w:r w:rsidRPr="00A72BA1">
        <w:rPr>
          <w:rFonts w:ascii="Cheltenham" w:hAnsi="Cheltenham" w:cs="Cheltenham"/>
          <w:sz w:val="21"/>
          <w:szCs w:val="21"/>
        </w:rPr>
        <w:t xml:space="preserve"> be decontaminated. </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72BA1" w:rsidRPr="00A72BA1" w:rsidRDefault="00A72BA1" w:rsidP="00A72BA1">
      <w:pPr>
        <w:autoSpaceDE w:val="0"/>
        <w:autoSpaceDN w:val="0"/>
        <w:adjustRightInd w:val="0"/>
        <w:spacing w:after="86" w:line="290" w:lineRule="atLeast"/>
        <w:ind w:left="720"/>
        <w:jc w:val="both"/>
        <w:rPr>
          <w:rFonts w:ascii="Cheltenham" w:hAnsi="Cheltenham" w:cs="Cheltenham"/>
          <w:spacing w:val="15"/>
          <w:sz w:val="21"/>
          <w:szCs w:val="21"/>
        </w:rPr>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p w:rsidR="00464524" w:rsidRDefault="00A72BA1" w:rsidP="00A72BA1">
      <w:pPr>
        <w:autoSpaceDE w:val="0"/>
        <w:autoSpaceDN w:val="0"/>
        <w:adjustRightInd w:val="0"/>
        <w:spacing w:after="86" w:line="290" w:lineRule="atLeast"/>
        <w:ind w:left="720"/>
        <w:jc w:val="both"/>
      </w:pPr>
      <w:r w:rsidRPr="00A72BA1">
        <w:rPr>
          <w:rFonts w:ascii="Cheltenham" w:hAnsi="Cheltenham" w:cs="Cheltenham"/>
          <w:spacing w:val="15"/>
          <w:sz w:val="21"/>
          <w:szCs w:val="21"/>
        </w:rPr>
        <w:t>________________________________________________________________________________________________________________________________________________</w:t>
      </w:r>
    </w:p>
    <w:sectPr w:rsidR="00464524" w:rsidSect="0063285D">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heltenham">
    <w:panose1 w:val="00000000000000000000"/>
    <w:charset w:val="00"/>
    <w:family w:val="roman"/>
    <w:notTrueType/>
    <w:pitch w:val="variable"/>
    <w:sig w:usb0="00000003" w:usb1="00000000" w:usb2="00000000" w:usb3="00000000" w:csb0="00000001" w:csb1="00000000"/>
  </w:font>
  <w:font w:name="Eras Ultra">
    <w:panose1 w:val="00000000000000000000"/>
    <w:charset w:val="00"/>
    <w:family w:val="swiss"/>
    <w:notTrueType/>
    <w:pitch w:val="default"/>
    <w:sig w:usb0="00000003" w:usb1="00000000" w:usb2="00000000" w:usb3="00000000" w:csb0="00000001" w:csb1="00000000"/>
  </w:font>
  <w:font w:name="Era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9"/>
  <w:doNotDisplayPageBoundaries/>
  <w:proofState w:spelling="clean" w:grammar="clean"/>
  <w:defaultTabStop w:val="720"/>
  <w:characterSpacingControl w:val="doNotCompress"/>
  <w:compat/>
  <w:rsids>
    <w:rsidRoot w:val="00A72BA1"/>
    <w:rsid w:val="00464524"/>
    <w:rsid w:val="00A72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5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rsid w:val="00A72BA1"/>
    <w:pPr>
      <w:autoSpaceDE w:val="0"/>
      <w:autoSpaceDN w:val="0"/>
      <w:adjustRightInd w:val="0"/>
      <w:spacing w:after="0" w:line="280" w:lineRule="atLeast"/>
    </w:pPr>
    <w:rPr>
      <w:rFonts w:ascii="Cheltenham" w:hAnsi="Cheltenham" w:cs="Cheltenham"/>
      <w:color w:val="000000"/>
      <w:sz w:val="21"/>
      <w:szCs w:val="21"/>
    </w:rPr>
  </w:style>
  <w:style w:type="paragraph" w:customStyle="1" w:styleId="BodyHeading">
    <w:name w:val="Body Heading"/>
    <w:uiPriority w:val="99"/>
    <w:rsid w:val="00A72BA1"/>
    <w:pPr>
      <w:pBdr>
        <w:bottom w:val="single" w:sz="6" w:space="0" w:color="auto"/>
        <w:between w:val="single" w:sz="6" w:space="0" w:color="auto"/>
      </w:pBdr>
      <w:tabs>
        <w:tab w:val="left" w:pos="855"/>
      </w:tabs>
      <w:autoSpaceDE w:val="0"/>
      <w:autoSpaceDN w:val="0"/>
      <w:adjustRightInd w:val="0"/>
      <w:spacing w:before="360" w:after="0" w:line="240" w:lineRule="auto"/>
    </w:pPr>
    <w:rPr>
      <w:rFonts w:ascii="Eras Ultra" w:hAnsi="Eras Ultra" w:cs="Eras Ultra"/>
      <w:caps/>
      <w:color w:val="00308A"/>
      <w:sz w:val="26"/>
      <w:szCs w:val="26"/>
    </w:rPr>
  </w:style>
  <w:style w:type="paragraph" w:customStyle="1" w:styleId="paragraphspace">
    <w:name w:val="paragraph space"/>
    <w:basedOn w:val="Normal"/>
    <w:uiPriority w:val="99"/>
    <w:rsid w:val="00A72BA1"/>
    <w:pPr>
      <w:autoSpaceDE w:val="0"/>
      <w:autoSpaceDN w:val="0"/>
      <w:adjustRightInd w:val="0"/>
      <w:spacing w:after="0" w:line="240" w:lineRule="auto"/>
    </w:pPr>
    <w:rPr>
      <w:rFonts w:ascii="Eras" w:hAnsi="Eras" w:cs="Eras"/>
      <w:sz w:val="8"/>
      <w:szCs w:val="8"/>
    </w:rPr>
  </w:style>
  <w:style w:type="paragraph" w:customStyle="1" w:styleId="105ptbodytext">
    <w:name w:val="10.5 pt body text"/>
    <w:next w:val="bullets"/>
    <w:uiPriority w:val="99"/>
    <w:rsid w:val="00A72BA1"/>
    <w:pPr>
      <w:autoSpaceDE w:val="0"/>
      <w:autoSpaceDN w:val="0"/>
      <w:adjustRightInd w:val="0"/>
      <w:spacing w:after="86" w:line="290" w:lineRule="atLeast"/>
      <w:ind w:left="720"/>
      <w:jc w:val="both"/>
    </w:pPr>
    <w:rPr>
      <w:rFonts w:ascii="Cheltenham" w:hAnsi="Cheltenham" w:cs="Cheltenham"/>
      <w:color w:val="000000"/>
      <w:spacing w:val="15"/>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2728</Words>
  <Characters>15553</Characters>
  <Application>Microsoft Office Word</Application>
  <DocSecurity>0</DocSecurity>
  <Lines>129</Lines>
  <Paragraphs>36</Paragraphs>
  <ScaleCrop>false</ScaleCrop>
  <Company/>
  <LinksUpToDate>false</LinksUpToDate>
  <CharactersWithSpaces>18245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Celeste</dc:creator>
  <cp:lastModifiedBy>Celeste</cp:lastModifiedBy>
  <cp:revision>1</cp:revision>
  <dcterms:created xsi:type="dcterms:W3CDTF">2011-08-11T17:38:00Z</dcterms:created>
  <dcterms:modified xsi:type="dcterms:W3CDTF">2011-08-11T17:40:00Z</dcterms:modified>
</cp:coreProperties>
</file>