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C1" w:rsidRDefault="007E44C1">
      <w:pPr>
        <w:rPr>
          <w:sz w:val="24"/>
          <w:szCs w:val="24"/>
        </w:rPr>
      </w:pPr>
      <w:r>
        <w:rPr>
          <w:sz w:val="24"/>
          <w:szCs w:val="24"/>
        </w:rPr>
        <w:t xml:space="preserve">To:  </w:t>
      </w:r>
      <w:r>
        <w:rPr>
          <w:sz w:val="24"/>
          <w:szCs w:val="24"/>
        </w:rPr>
        <w:tab/>
        <w:t>Quadrennial Energy Review Team</w:t>
      </w:r>
    </w:p>
    <w:p w:rsidR="00280BAC" w:rsidRDefault="007E44C1">
      <w:pPr>
        <w:rPr>
          <w:sz w:val="24"/>
          <w:szCs w:val="24"/>
        </w:rPr>
      </w:pPr>
      <w:r>
        <w:rPr>
          <w:sz w:val="24"/>
          <w:szCs w:val="24"/>
        </w:rPr>
        <w:tab/>
        <w:t>Energy Policy and Systems Analysis Office</w:t>
      </w:r>
    </w:p>
    <w:p w:rsidR="007E44C1" w:rsidRDefault="00491343">
      <w:pPr>
        <w:rPr>
          <w:sz w:val="24"/>
          <w:szCs w:val="24"/>
        </w:rPr>
      </w:pPr>
      <w:r>
        <w:rPr>
          <w:sz w:val="24"/>
          <w:szCs w:val="24"/>
        </w:rPr>
        <w:tab/>
        <w:t>Department of Energy</w:t>
      </w:r>
    </w:p>
    <w:p w:rsidR="00491343" w:rsidRDefault="00491343">
      <w:pPr>
        <w:rPr>
          <w:sz w:val="24"/>
          <w:szCs w:val="24"/>
        </w:rPr>
      </w:pPr>
    </w:p>
    <w:p w:rsidR="007E44C1" w:rsidRDefault="007E44C1">
      <w:pPr>
        <w:rPr>
          <w:sz w:val="24"/>
          <w:szCs w:val="24"/>
        </w:rPr>
      </w:pPr>
      <w:r>
        <w:rPr>
          <w:sz w:val="24"/>
          <w:szCs w:val="24"/>
        </w:rPr>
        <w:t>From:</w:t>
      </w:r>
      <w:r>
        <w:rPr>
          <w:sz w:val="24"/>
          <w:szCs w:val="24"/>
        </w:rPr>
        <w:tab/>
        <w:t>National Rural Electric Cooperative Association</w:t>
      </w:r>
    </w:p>
    <w:p w:rsidR="007E44C1" w:rsidRDefault="007E44C1">
      <w:pPr>
        <w:rPr>
          <w:sz w:val="24"/>
          <w:szCs w:val="24"/>
        </w:rPr>
      </w:pPr>
    </w:p>
    <w:p w:rsidR="007E44C1" w:rsidRDefault="007E44C1">
      <w:pPr>
        <w:rPr>
          <w:sz w:val="24"/>
          <w:szCs w:val="24"/>
        </w:rPr>
      </w:pPr>
      <w:r>
        <w:rPr>
          <w:sz w:val="24"/>
          <w:szCs w:val="24"/>
        </w:rPr>
        <w:t>Date:</w:t>
      </w:r>
      <w:r>
        <w:rPr>
          <w:sz w:val="24"/>
          <w:szCs w:val="24"/>
        </w:rPr>
        <w:tab/>
        <w:t>October 10, 2014</w:t>
      </w:r>
    </w:p>
    <w:p w:rsidR="007E44C1" w:rsidRDefault="007E44C1">
      <w:pPr>
        <w:rPr>
          <w:sz w:val="24"/>
          <w:szCs w:val="24"/>
        </w:rPr>
      </w:pPr>
    </w:p>
    <w:p w:rsidR="007E44C1" w:rsidRDefault="007E44C1">
      <w:pPr>
        <w:rPr>
          <w:sz w:val="24"/>
          <w:szCs w:val="24"/>
        </w:rPr>
      </w:pPr>
      <w:r>
        <w:rPr>
          <w:sz w:val="24"/>
          <w:szCs w:val="24"/>
        </w:rPr>
        <w:t>Re:</w:t>
      </w:r>
      <w:r>
        <w:rPr>
          <w:sz w:val="24"/>
          <w:szCs w:val="24"/>
        </w:rPr>
        <w:tab/>
      </w:r>
      <w:r w:rsidR="001B0DB9">
        <w:rPr>
          <w:sz w:val="24"/>
          <w:szCs w:val="24"/>
        </w:rPr>
        <w:t>Supplemental</w:t>
      </w:r>
      <w:r>
        <w:rPr>
          <w:sz w:val="24"/>
          <w:szCs w:val="24"/>
        </w:rPr>
        <w:t xml:space="preserve"> Comments on Phase I of the QER</w:t>
      </w:r>
    </w:p>
    <w:p w:rsidR="00280BAC" w:rsidRDefault="00280BAC">
      <w:pPr>
        <w:rPr>
          <w:sz w:val="24"/>
          <w:szCs w:val="24"/>
        </w:rPr>
      </w:pPr>
    </w:p>
    <w:p w:rsidR="006D0E6B" w:rsidRDefault="006D0E6B">
      <w:pPr>
        <w:rPr>
          <w:sz w:val="24"/>
          <w:szCs w:val="24"/>
        </w:rPr>
      </w:pPr>
    </w:p>
    <w:p w:rsidR="00280BAC" w:rsidRPr="00280BAC" w:rsidRDefault="00280BAC">
      <w:pPr>
        <w:rPr>
          <w:sz w:val="24"/>
          <w:szCs w:val="24"/>
        </w:rPr>
      </w:pPr>
    </w:p>
    <w:p w:rsidR="00280BAC" w:rsidRDefault="001B0DB9" w:rsidP="00280BAC">
      <w:pPr>
        <w:rPr>
          <w:sz w:val="24"/>
          <w:szCs w:val="24"/>
        </w:rPr>
      </w:pPr>
      <w:r>
        <w:rPr>
          <w:sz w:val="24"/>
          <w:szCs w:val="24"/>
        </w:rPr>
        <w:t>On October 3</w:t>
      </w:r>
      <w:r w:rsidRPr="00CA3948">
        <w:rPr>
          <w:sz w:val="24"/>
          <w:szCs w:val="24"/>
          <w:vertAlign w:val="superscript"/>
        </w:rPr>
        <w:t>rd</w:t>
      </w:r>
      <w:r>
        <w:rPr>
          <w:sz w:val="24"/>
          <w:szCs w:val="24"/>
        </w:rPr>
        <w:t>, 2014 t</w:t>
      </w:r>
      <w:r w:rsidR="007E44C1">
        <w:rPr>
          <w:sz w:val="24"/>
          <w:szCs w:val="24"/>
        </w:rPr>
        <w:t>he National Rural Electric Cooperative (</w:t>
      </w:r>
      <w:r w:rsidR="00745662">
        <w:rPr>
          <w:sz w:val="24"/>
          <w:szCs w:val="24"/>
        </w:rPr>
        <w:t>NRECA</w:t>
      </w:r>
      <w:r w:rsidR="007E44C1">
        <w:rPr>
          <w:sz w:val="24"/>
          <w:szCs w:val="24"/>
        </w:rPr>
        <w:t xml:space="preserve">) </w:t>
      </w:r>
      <w:r>
        <w:rPr>
          <w:sz w:val="24"/>
          <w:szCs w:val="24"/>
        </w:rPr>
        <w:t>submitted comments on Phase I of the</w:t>
      </w:r>
      <w:r w:rsidR="00D33BED">
        <w:rPr>
          <w:sz w:val="24"/>
          <w:szCs w:val="24"/>
        </w:rPr>
        <w:t xml:space="preserve"> Department of Energy’s (DOE) Quadrennial Energy Review</w:t>
      </w:r>
      <w:r>
        <w:rPr>
          <w:sz w:val="24"/>
          <w:szCs w:val="24"/>
        </w:rPr>
        <w:t xml:space="preserve"> </w:t>
      </w:r>
      <w:r w:rsidR="00D33BED">
        <w:rPr>
          <w:sz w:val="24"/>
          <w:szCs w:val="24"/>
        </w:rPr>
        <w:t>(</w:t>
      </w:r>
      <w:r>
        <w:rPr>
          <w:sz w:val="24"/>
          <w:szCs w:val="24"/>
        </w:rPr>
        <w:t>QER</w:t>
      </w:r>
      <w:r w:rsidR="00D33BED">
        <w:rPr>
          <w:sz w:val="24"/>
          <w:szCs w:val="24"/>
        </w:rPr>
        <w:t>)</w:t>
      </w:r>
      <w:r>
        <w:rPr>
          <w:sz w:val="24"/>
          <w:szCs w:val="24"/>
        </w:rPr>
        <w:t>.  This instant filing supplements those comments with additional observations about the Phase 1 of the QER</w:t>
      </w:r>
      <w:r w:rsidR="00A12C49">
        <w:rPr>
          <w:sz w:val="24"/>
          <w:szCs w:val="24"/>
        </w:rPr>
        <w:t>.</w:t>
      </w:r>
      <w:r w:rsidR="007E44C1">
        <w:rPr>
          <w:sz w:val="24"/>
          <w:szCs w:val="24"/>
        </w:rPr>
        <w:t xml:space="preserve">  </w:t>
      </w:r>
    </w:p>
    <w:p w:rsidR="00DF6180" w:rsidRDefault="00DF6180" w:rsidP="00280BAC">
      <w:pPr>
        <w:rPr>
          <w:sz w:val="24"/>
          <w:szCs w:val="24"/>
        </w:rPr>
      </w:pPr>
    </w:p>
    <w:p w:rsidR="006D0E6B" w:rsidRDefault="0032562E" w:rsidP="00280BAC">
      <w:pPr>
        <w:rPr>
          <w:b/>
          <w:sz w:val="24"/>
          <w:szCs w:val="24"/>
          <w:u w:val="single"/>
        </w:rPr>
      </w:pPr>
      <w:r>
        <w:rPr>
          <w:b/>
          <w:sz w:val="24"/>
          <w:szCs w:val="24"/>
          <w:u w:val="single"/>
        </w:rPr>
        <w:t xml:space="preserve">Industry Initiatives Which Call </w:t>
      </w:r>
      <w:r w:rsidR="00663091">
        <w:rPr>
          <w:b/>
          <w:sz w:val="24"/>
          <w:szCs w:val="24"/>
          <w:u w:val="single"/>
        </w:rPr>
        <w:t>F</w:t>
      </w:r>
      <w:r>
        <w:rPr>
          <w:b/>
          <w:sz w:val="24"/>
          <w:szCs w:val="24"/>
          <w:u w:val="single"/>
        </w:rPr>
        <w:t xml:space="preserve">or Eliminating </w:t>
      </w:r>
      <w:r w:rsidR="00663091">
        <w:rPr>
          <w:b/>
          <w:sz w:val="24"/>
          <w:szCs w:val="24"/>
          <w:u w:val="single"/>
        </w:rPr>
        <w:t>t</w:t>
      </w:r>
      <w:r>
        <w:rPr>
          <w:b/>
          <w:sz w:val="24"/>
          <w:szCs w:val="24"/>
          <w:u w:val="single"/>
        </w:rPr>
        <w:t>he Current Utility Business Model</w:t>
      </w:r>
      <w:r w:rsidR="00A62D36">
        <w:rPr>
          <w:b/>
          <w:sz w:val="24"/>
          <w:szCs w:val="24"/>
          <w:u w:val="single"/>
        </w:rPr>
        <w:t xml:space="preserve"> Do Not Further </w:t>
      </w:r>
      <w:r w:rsidR="00663091">
        <w:rPr>
          <w:b/>
          <w:sz w:val="24"/>
          <w:szCs w:val="24"/>
          <w:u w:val="single"/>
        </w:rPr>
        <w:t>t</w:t>
      </w:r>
      <w:r w:rsidR="00A62D36">
        <w:rPr>
          <w:b/>
          <w:sz w:val="24"/>
          <w:szCs w:val="24"/>
          <w:u w:val="single"/>
        </w:rPr>
        <w:t xml:space="preserve">he Principles </w:t>
      </w:r>
      <w:r w:rsidR="00663091">
        <w:rPr>
          <w:b/>
          <w:sz w:val="24"/>
          <w:szCs w:val="24"/>
          <w:u w:val="single"/>
        </w:rPr>
        <w:t>T</w:t>
      </w:r>
      <w:r w:rsidR="00A62D36">
        <w:rPr>
          <w:b/>
          <w:sz w:val="24"/>
          <w:szCs w:val="24"/>
          <w:u w:val="single"/>
        </w:rPr>
        <w:t xml:space="preserve">hat Are Essential </w:t>
      </w:r>
      <w:r w:rsidR="00663091">
        <w:rPr>
          <w:b/>
          <w:sz w:val="24"/>
          <w:szCs w:val="24"/>
          <w:u w:val="single"/>
        </w:rPr>
        <w:t>t</w:t>
      </w:r>
      <w:r w:rsidR="00A62D36">
        <w:rPr>
          <w:b/>
          <w:sz w:val="24"/>
          <w:szCs w:val="24"/>
          <w:u w:val="single"/>
        </w:rPr>
        <w:t xml:space="preserve">o </w:t>
      </w:r>
      <w:r w:rsidR="00663091">
        <w:rPr>
          <w:b/>
          <w:sz w:val="24"/>
          <w:szCs w:val="24"/>
          <w:u w:val="single"/>
        </w:rPr>
        <w:t>t</w:t>
      </w:r>
      <w:r w:rsidR="00A62D36">
        <w:rPr>
          <w:b/>
          <w:sz w:val="24"/>
          <w:szCs w:val="24"/>
          <w:u w:val="single"/>
        </w:rPr>
        <w:t>he QER</w:t>
      </w:r>
      <w:r w:rsidR="006D0E6B">
        <w:rPr>
          <w:b/>
          <w:sz w:val="24"/>
          <w:szCs w:val="24"/>
          <w:u w:val="single"/>
        </w:rPr>
        <w:t xml:space="preserve"> </w:t>
      </w:r>
      <w:r>
        <w:rPr>
          <w:b/>
          <w:sz w:val="24"/>
          <w:szCs w:val="24"/>
          <w:u w:val="single"/>
        </w:rPr>
        <w:t xml:space="preserve"> </w:t>
      </w:r>
    </w:p>
    <w:p w:rsidR="006D0E6B" w:rsidRPr="006D0E6B" w:rsidRDefault="006D0E6B" w:rsidP="00280BAC">
      <w:pPr>
        <w:rPr>
          <w:b/>
          <w:sz w:val="24"/>
          <w:szCs w:val="24"/>
          <w:u w:val="single"/>
        </w:rPr>
      </w:pPr>
    </w:p>
    <w:p w:rsidR="002A64D6" w:rsidRDefault="00BE4BE9" w:rsidP="00280BAC">
      <w:pPr>
        <w:rPr>
          <w:sz w:val="24"/>
          <w:szCs w:val="24"/>
        </w:rPr>
      </w:pPr>
      <w:r>
        <w:rPr>
          <w:sz w:val="24"/>
          <w:szCs w:val="24"/>
        </w:rPr>
        <w:t>In its October 3</w:t>
      </w:r>
      <w:r w:rsidRPr="00CA3948">
        <w:rPr>
          <w:sz w:val="24"/>
          <w:szCs w:val="24"/>
          <w:vertAlign w:val="superscript"/>
        </w:rPr>
        <w:t>rd</w:t>
      </w:r>
      <w:r>
        <w:rPr>
          <w:sz w:val="24"/>
          <w:szCs w:val="24"/>
        </w:rPr>
        <w:t xml:space="preserve"> comments, NRECA addressed key principals that should inform the QER Phase I recommendations, namely adopting an “all of the above” vision for 2030 wh</w:t>
      </w:r>
      <w:r w:rsidR="00C40F48">
        <w:rPr>
          <w:sz w:val="24"/>
          <w:szCs w:val="24"/>
        </w:rPr>
        <w:t>ich is built around the current electric grid as its foundation.</w:t>
      </w:r>
      <w:r w:rsidR="002B307A">
        <w:rPr>
          <w:sz w:val="24"/>
          <w:szCs w:val="24"/>
        </w:rPr>
        <w:t xml:space="preserve"> </w:t>
      </w:r>
      <w:r w:rsidR="00AF670C">
        <w:rPr>
          <w:sz w:val="24"/>
          <w:szCs w:val="24"/>
        </w:rPr>
        <w:t xml:space="preserve"> </w:t>
      </w:r>
      <w:r w:rsidR="002B307A">
        <w:rPr>
          <w:sz w:val="24"/>
          <w:szCs w:val="24"/>
        </w:rPr>
        <w:t xml:space="preserve">NRECA recognizes and agrees with the premise underlying initiatives such as the recent </w:t>
      </w:r>
      <w:r w:rsidR="00AF670C">
        <w:rPr>
          <w:sz w:val="24"/>
          <w:szCs w:val="24"/>
        </w:rPr>
        <w:t xml:space="preserve">DOE </w:t>
      </w:r>
      <w:r w:rsidR="002B307A">
        <w:rPr>
          <w:sz w:val="24"/>
          <w:szCs w:val="24"/>
        </w:rPr>
        <w:t>Future of the Grid</w:t>
      </w:r>
      <w:r w:rsidR="00AF670C">
        <w:rPr>
          <w:sz w:val="24"/>
          <w:szCs w:val="24"/>
        </w:rPr>
        <w:t xml:space="preserve"> (FOG)</w:t>
      </w:r>
      <w:r w:rsidR="002B307A">
        <w:rPr>
          <w:sz w:val="24"/>
          <w:szCs w:val="24"/>
        </w:rPr>
        <w:t xml:space="preserve"> that the grid</w:t>
      </w:r>
      <w:r w:rsidR="001D0789">
        <w:rPr>
          <w:sz w:val="24"/>
          <w:szCs w:val="24"/>
        </w:rPr>
        <w:t xml:space="preserve"> must evolve in order to meet</w:t>
      </w:r>
      <w:r w:rsidR="002B307A">
        <w:rPr>
          <w:sz w:val="24"/>
          <w:szCs w:val="24"/>
        </w:rPr>
        <w:t xml:space="preserve"> energy needs and customer expectations in 2030.</w:t>
      </w:r>
      <w:r w:rsidR="00140178">
        <w:rPr>
          <w:sz w:val="24"/>
          <w:szCs w:val="24"/>
        </w:rPr>
        <w:t xml:space="preserve"> NRECA does not, however, subscribe to the notion that the grid must be completely overhauled and that the utility of the future will simply be a conduit for customized consumer services.</w:t>
      </w:r>
    </w:p>
    <w:p w:rsidR="002A64D6" w:rsidRDefault="002A64D6" w:rsidP="00280BAC">
      <w:pPr>
        <w:rPr>
          <w:sz w:val="24"/>
          <w:szCs w:val="24"/>
        </w:rPr>
      </w:pPr>
    </w:p>
    <w:p w:rsidR="00E73BC7" w:rsidRDefault="002A64D6" w:rsidP="00280BAC">
      <w:pPr>
        <w:rPr>
          <w:sz w:val="24"/>
          <w:szCs w:val="24"/>
        </w:rPr>
      </w:pPr>
      <w:r>
        <w:rPr>
          <w:sz w:val="24"/>
          <w:szCs w:val="24"/>
        </w:rPr>
        <w:t>Vertically</w:t>
      </w:r>
      <w:r w:rsidR="003A5A32">
        <w:rPr>
          <w:sz w:val="24"/>
          <w:szCs w:val="24"/>
        </w:rPr>
        <w:t>-</w:t>
      </w:r>
      <w:r>
        <w:rPr>
          <w:sz w:val="24"/>
          <w:szCs w:val="24"/>
        </w:rPr>
        <w:t>integrated utilities,</w:t>
      </w:r>
      <w:r w:rsidR="00E73BC7">
        <w:rPr>
          <w:sz w:val="24"/>
          <w:szCs w:val="24"/>
        </w:rPr>
        <w:t xml:space="preserve"> s</w:t>
      </w:r>
      <w:r>
        <w:rPr>
          <w:sz w:val="24"/>
          <w:szCs w:val="24"/>
        </w:rPr>
        <w:t>uch as electric co-ops,</w:t>
      </w:r>
      <w:r w:rsidR="007E4CE0">
        <w:rPr>
          <w:sz w:val="24"/>
          <w:szCs w:val="24"/>
        </w:rPr>
        <w:t xml:space="preserve"> manage portfolios of resources in order to</w:t>
      </w:r>
      <w:r>
        <w:rPr>
          <w:sz w:val="24"/>
          <w:szCs w:val="24"/>
        </w:rPr>
        <w:t xml:space="preserve"> </w:t>
      </w:r>
      <w:r w:rsidR="003B0852">
        <w:rPr>
          <w:sz w:val="24"/>
          <w:szCs w:val="24"/>
        </w:rPr>
        <w:t>govern risks and minimize costs</w:t>
      </w:r>
      <w:r w:rsidR="00E73BC7">
        <w:rPr>
          <w:sz w:val="24"/>
          <w:szCs w:val="24"/>
        </w:rPr>
        <w:t xml:space="preserve"> and volatility over the long term</w:t>
      </w:r>
      <w:r w:rsidR="003B0852">
        <w:rPr>
          <w:sz w:val="24"/>
          <w:szCs w:val="24"/>
        </w:rPr>
        <w:t>, in the best interest of all of their consumer member-owners.</w:t>
      </w:r>
      <w:r>
        <w:rPr>
          <w:sz w:val="24"/>
          <w:szCs w:val="24"/>
        </w:rPr>
        <w:t xml:space="preserve"> </w:t>
      </w:r>
      <w:r w:rsidR="003B0852">
        <w:rPr>
          <w:sz w:val="24"/>
          <w:szCs w:val="24"/>
        </w:rPr>
        <w:t>Disaggregating these</w:t>
      </w:r>
      <w:r>
        <w:rPr>
          <w:sz w:val="24"/>
          <w:szCs w:val="24"/>
        </w:rPr>
        <w:t xml:space="preserve"> core functions </w:t>
      </w:r>
      <w:r w:rsidR="003B0852">
        <w:rPr>
          <w:sz w:val="24"/>
          <w:szCs w:val="24"/>
        </w:rPr>
        <w:t>would mean that no one entity would be responsible for planning long</w:t>
      </w:r>
      <w:r w:rsidR="00E73BC7">
        <w:rPr>
          <w:sz w:val="24"/>
          <w:szCs w:val="24"/>
        </w:rPr>
        <w:t>-</w:t>
      </w:r>
      <w:r w:rsidR="003B0852">
        <w:rPr>
          <w:sz w:val="24"/>
          <w:szCs w:val="24"/>
        </w:rPr>
        <w:t>term to ensure reliability and to minimize risk and volatility.</w:t>
      </w:r>
      <w:r w:rsidR="000B0FAE">
        <w:rPr>
          <w:sz w:val="24"/>
          <w:szCs w:val="24"/>
        </w:rPr>
        <w:t xml:space="preserve"> </w:t>
      </w:r>
      <w:r w:rsidR="00E73BC7">
        <w:rPr>
          <w:sz w:val="24"/>
          <w:szCs w:val="24"/>
        </w:rPr>
        <w:t xml:space="preserve"> </w:t>
      </w:r>
      <w:r w:rsidR="000B0FAE">
        <w:rPr>
          <w:sz w:val="24"/>
          <w:szCs w:val="24"/>
        </w:rPr>
        <w:t>While use of distributed energy resource</w:t>
      </w:r>
      <w:r w:rsidR="00E73BC7">
        <w:rPr>
          <w:sz w:val="24"/>
          <w:szCs w:val="24"/>
        </w:rPr>
        <w:t>s</w:t>
      </w:r>
      <w:r w:rsidR="000B0FAE">
        <w:rPr>
          <w:sz w:val="24"/>
          <w:szCs w:val="24"/>
        </w:rPr>
        <w:t xml:space="preserve"> and microgrid technologies will certainly advance between now and 2030, they will not be the panacea for providing what customers overwhelmingly require-affordable, reliable and safe energy services. </w:t>
      </w:r>
      <w:r w:rsidR="000D2D5A">
        <w:rPr>
          <w:sz w:val="24"/>
          <w:szCs w:val="24"/>
        </w:rPr>
        <w:t xml:space="preserve">Instead of driving a discussion about what the new business models for delivering energy services should look like across the country, NRECA urges the QER process to focus on resources </w:t>
      </w:r>
      <w:r w:rsidR="00F679A9">
        <w:rPr>
          <w:sz w:val="24"/>
          <w:szCs w:val="24"/>
        </w:rPr>
        <w:t>that</w:t>
      </w:r>
      <w:r w:rsidR="000D2D5A">
        <w:rPr>
          <w:sz w:val="24"/>
          <w:szCs w:val="24"/>
        </w:rPr>
        <w:t xml:space="preserve"> </w:t>
      </w:r>
      <w:r w:rsidR="007858C9">
        <w:rPr>
          <w:sz w:val="24"/>
          <w:szCs w:val="24"/>
        </w:rPr>
        <w:t xml:space="preserve">may assist </w:t>
      </w:r>
      <w:r w:rsidR="000D2D5A">
        <w:rPr>
          <w:sz w:val="24"/>
          <w:szCs w:val="24"/>
        </w:rPr>
        <w:t>regions, states, local utilities and consumers in determining</w:t>
      </w:r>
      <w:r w:rsidR="00F679A9">
        <w:rPr>
          <w:sz w:val="24"/>
          <w:szCs w:val="24"/>
        </w:rPr>
        <w:t xml:space="preserve"> which of the “all of the above” technologies and providers best meet their needs.</w:t>
      </w:r>
    </w:p>
    <w:p w:rsidR="002478CB" w:rsidRDefault="002B307A" w:rsidP="00280BAC">
      <w:pPr>
        <w:rPr>
          <w:sz w:val="24"/>
          <w:szCs w:val="24"/>
        </w:rPr>
      </w:pPr>
      <w:r>
        <w:rPr>
          <w:sz w:val="24"/>
          <w:szCs w:val="24"/>
        </w:rPr>
        <w:t xml:space="preserve"> </w:t>
      </w:r>
      <w:r w:rsidR="002478CB">
        <w:rPr>
          <w:sz w:val="24"/>
          <w:szCs w:val="24"/>
        </w:rPr>
        <w:t xml:space="preserve"> </w:t>
      </w:r>
    </w:p>
    <w:p w:rsidR="0010319E" w:rsidRDefault="0097457B" w:rsidP="00F679A9">
      <w:pPr>
        <w:rPr>
          <w:sz w:val="24"/>
          <w:szCs w:val="24"/>
        </w:rPr>
      </w:pPr>
      <w:r>
        <w:rPr>
          <w:sz w:val="24"/>
          <w:szCs w:val="24"/>
        </w:rPr>
        <w:t xml:space="preserve">NRECA </w:t>
      </w:r>
      <w:r w:rsidR="00F679A9" w:rsidRPr="00F679A9">
        <w:rPr>
          <w:sz w:val="24"/>
          <w:szCs w:val="24"/>
        </w:rPr>
        <w:t xml:space="preserve">and several of its member systems participated in </w:t>
      </w:r>
      <w:r>
        <w:rPr>
          <w:sz w:val="24"/>
          <w:szCs w:val="24"/>
        </w:rPr>
        <w:t>FOG</w:t>
      </w:r>
      <w:r w:rsidR="00F679A9" w:rsidRPr="00F679A9">
        <w:rPr>
          <w:sz w:val="24"/>
          <w:szCs w:val="24"/>
        </w:rPr>
        <w:t xml:space="preserve"> </w:t>
      </w:r>
      <w:r>
        <w:rPr>
          <w:sz w:val="24"/>
          <w:szCs w:val="24"/>
        </w:rPr>
        <w:t>r</w:t>
      </w:r>
      <w:r w:rsidR="00F679A9" w:rsidRPr="00F679A9">
        <w:rPr>
          <w:sz w:val="24"/>
          <w:szCs w:val="24"/>
        </w:rPr>
        <w:t xml:space="preserve">egional </w:t>
      </w:r>
      <w:r>
        <w:rPr>
          <w:sz w:val="24"/>
          <w:szCs w:val="24"/>
        </w:rPr>
        <w:t>w</w:t>
      </w:r>
      <w:r w:rsidR="00F679A9" w:rsidRPr="00F679A9">
        <w:rPr>
          <w:sz w:val="24"/>
          <w:szCs w:val="24"/>
        </w:rPr>
        <w:t xml:space="preserve">orkshops and the </w:t>
      </w:r>
      <w:r>
        <w:rPr>
          <w:sz w:val="24"/>
          <w:szCs w:val="24"/>
        </w:rPr>
        <w:t>e</w:t>
      </w:r>
      <w:r w:rsidR="00F679A9" w:rsidRPr="00F679A9">
        <w:rPr>
          <w:sz w:val="24"/>
          <w:szCs w:val="24"/>
        </w:rPr>
        <w:t xml:space="preserve">xecutive </w:t>
      </w:r>
      <w:r>
        <w:rPr>
          <w:sz w:val="24"/>
          <w:szCs w:val="24"/>
        </w:rPr>
        <w:t>s</w:t>
      </w:r>
      <w:r w:rsidR="00F679A9" w:rsidRPr="00F679A9">
        <w:rPr>
          <w:sz w:val="24"/>
          <w:szCs w:val="24"/>
        </w:rPr>
        <w:t>ummit held in June</w:t>
      </w:r>
      <w:r>
        <w:rPr>
          <w:sz w:val="24"/>
          <w:szCs w:val="24"/>
        </w:rPr>
        <w:t xml:space="preserve"> 2014</w:t>
      </w:r>
      <w:r w:rsidR="00F679A9" w:rsidRPr="00F679A9">
        <w:rPr>
          <w:sz w:val="24"/>
          <w:szCs w:val="24"/>
        </w:rPr>
        <w:t xml:space="preserve"> in Washington, DC. </w:t>
      </w:r>
      <w:r>
        <w:rPr>
          <w:sz w:val="24"/>
          <w:szCs w:val="24"/>
        </w:rPr>
        <w:t>While the regional meetings reflected</w:t>
      </w:r>
      <w:r w:rsidR="00F679A9" w:rsidRPr="00F679A9">
        <w:rPr>
          <w:sz w:val="24"/>
          <w:szCs w:val="24"/>
        </w:rPr>
        <w:t xml:space="preserve"> the nature of the electric industry in their respective areas</w:t>
      </w:r>
      <w:r>
        <w:rPr>
          <w:sz w:val="24"/>
          <w:szCs w:val="24"/>
        </w:rPr>
        <w:t>, a few common themes emerged</w:t>
      </w:r>
      <w:r w:rsidR="003F48AA">
        <w:rPr>
          <w:sz w:val="24"/>
          <w:szCs w:val="24"/>
        </w:rPr>
        <w:t>.</w:t>
      </w:r>
      <w:r w:rsidR="00F679A9" w:rsidRPr="00F679A9">
        <w:rPr>
          <w:sz w:val="24"/>
          <w:szCs w:val="24"/>
        </w:rPr>
        <w:t xml:space="preserve"> </w:t>
      </w:r>
      <w:r>
        <w:rPr>
          <w:sz w:val="24"/>
          <w:szCs w:val="24"/>
        </w:rPr>
        <w:t>I</w:t>
      </w:r>
      <w:r w:rsidR="00F679A9" w:rsidRPr="00F679A9">
        <w:rPr>
          <w:sz w:val="24"/>
          <w:szCs w:val="24"/>
        </w:rPr>
        <w:t xml:space="preserve">n the </w:t>
      </w:r>
      <w:r>
        <w:rPr>
          <w:sz w:val="24"/>
          <w:szCs w:val="24"/>
        </w:rPr>
        <w:t>N</w:t>
      </w:r>
      <w:r w:rsidR="00F679A9" w:rsidRPr="00F679A9">
        <w:rPr>
          <w:sz w:val="24"/>
          <w:szCs w:val="24"/>
        </w:rPr>
        <w:t>orth</w:t>
      </w:r>
      <w:r w:rsidR="00035A2F">
        <w:rPr>
          <w:sz w:val="24"/>
          <w:szCs w:val="24"/>
        </w:rPr>
        <w:t xml:space="preserve"> </w:t>
      </w:r>
      <w:r>
        <w:rPr>
          <w:sz w:val="24"/>
          <w:szCs w:val="24"/>
        </w:rPr>
        <w:t>E</w:t>
      </w:r>
      <w:r w:rsidR="00F679A9" w:rsidRPr="00F679A9">
        <w:rPr>
          <w:sz w:val="24"/>
          <w:szCs w:val="24"/>
        </w:rPr>
        <w:t>ast</w:t>
      </w:r>
      <w:r>
        <w:rPr>
          <w:sz w:val="24"/>
          <w:szCs w:val="24"/>
        </w:rPr>
        <w:t xml:space="preserve"> (NE)</w:t>
      </w:r>
      <w:r w:rsidR="00F679A9" w:rsidRPr="00F679A9">
        <w:rPr>
          <w:sz w:val="24"/>
          <w:szCs w:val="24"/>
        </w:rPr>
        <w:t xml:space="preserve"> (</w:t>
      </w:r>
      <w:r w:rsidR="00E73BC7">
        <w:rPr>
          <w:sz w:val="24"/>
          <w:szCs w:val="24"/>
        </w:rPr>
        <w:t>largely</w:t>
      </w:r>
      <w:r w:rsidR="00045415">
        <w:rPr>
          <w:sz w:val="24"/>
          <w:szCs w:val="24"/>
        </w:rPr>
        <w:t xml:space="preserve"> </w:t>
      </w:r>
      <w:r w:rsidR="00F679A9" w:rsidRPr="00F679A9">
        <w:rPr>
          <w:sz w:val="24"/>
          <w:szCs w:val="24"/>
        </w:rPr>
        <w:t>restructured</w:t>
      </w:r>
      <w:r w:rsidR="00045415">
        <w:rPr>
          <w:sz w:val="24"/>
          <w:szCs w:val="24"/>
        </w:rPr>
        <w:t xml:space="preserve"> states</w:t>
      </w:r>
      <w:r w:rsidR="00F679A9" w:rsidRPr="00F679A9">
        <w:rPr>
          <w:sz w:val="24"/>
          <w:szCs w:val="24"/>
        </w:rPr>
        <w:t>) regional meeting, some participants call</w:t>
      </w:r>
      <w:r>
        <w:rPr>
          <w:sz w:val="24"/>
          <w:szCs w:val="24"/>
        </w:rPr>
        <w:t>ed</w:t>
      </w:r>
      <w:r w:rsidR="00F679A9" w:rsidRPr="00F679A9">
        <w:rPr>
          <w:sz w:val="24"/>
          <w:szCs w:val="24"/>
        </w:rPr>
        <w:t xml:space="preserve"> for more radical changes to the electric business models and infrastructure than others. </w:t>
      </w:r>
      <w:r>
        <w:rPr>
          <w:sz w:val="24"/>
          <w:szCs w:val="24"/>
        </w:rPr>
        <w:t>Regions</w:t>
      </w:r>
      <w:r w:rsidR="00045415">
        <w:rPr>
          <w:sz w:val="24"/>
          <w:szCs w:val="24"/>
        </w:rPr>
        <w:t xml:space="preserve"> </w:t>
      </w:r>
      <w:r w:rsidR="00045415">
        <w:rPr>
          <w:sz w:val="24"/>
          <w:szCs w:val="24"/>
        </w:rPr>
        <w:lastRenderedPageBreak/>
        <w:t xml:space="preserve">such as </w:t>
      </w:r>
      <w:r>
        <w:rPr>
          <w:sz w:val="24"/>
          <w:szCs w:val="24"/>
        </w:rPr>
        <w:t xml:space="preserve">NE </w:t>
      </w:r>
      <w:r w:rsidR="00045415">
        <w:rPr>
          <w:sz w:val="24"/>
          <w:szCs w:val="24"/>
        </w:rPr>
        <w:t xml:space="preserve">have already undergone significant changes to the local utility models, and struggle constantly to maintain reliable and affordable power supply options for consumers. </w:t>
      </w:r>
      <w:r w:rsidR="00E73BC7">
        <w:rPr>
          <w:sz w:val="24"/>
          <w:szCs w:val="24"/>
        </w:rPr>
        <w:t xml:space="preserve"> </w:t>
      </w:r>
      <w:r w:rsidR="00F679A9" w:rsidRPr="00F679A9">
        <w:rPr>
          <w:sz w:val="24"/>
          <w:szCs w:val="24"/>
        </w:rPr>
        <w:t>However, even in areas such as thi</w:t>
      </w:r>
      <w:r>
        <w:rPr>
          <w:sz w:val="24"/>
          <w:szCs w:val="24"/>
        </w:rPr>
        <w:t>s,</w:t>
      </w:r>
      <w:r w:rsidR="00035A2F">
        <w:rPr>
          <w:sz w:val="24"/>
          <w:szCs w:val="24"/>
        </w:rPr>
        <w:t xml:space="preserve"> </w:t>
      </w:r>
      <w:r w:rsidR="00E73BC7">
        <w:rPr>
          <w:sz w:val="24"/>
          <w:szCs w:val="24"/>
        </w:rPr>
        <w:t>with a greater appetite for change and a greater need to find solutions to challenges caused by restructuring</w:t>
      </w:r>
      <w:r w:rsidR="00F679A9" w:rsidRPr="00F679A9">
        <w:rPr>
          <w:sz w:val="24"/>
          <w:szCs w:val="24"/>
        </w:rPr>
        <w:t xml:space="preserve">, there was no strong belief that </w:t>
      </w:r>
      <w:r w:rsidR="00045415">
        <w:rPr>
          <w:sz w:val="24"/>
          <w:szCs w:val="24"/>
        </w:rPr>
        <w:t xml:space="preserve">the </w:t>
      </w:r>
      <w:r w:rsidR="00F679A9" w:rsidRPr="00F679A9">
        <w:rPr>
          <w:sz w:val="24"/>
          <w:szCs w:val="24"/>
        </w:rPr>
        <w:t xml:space="preserve">utilities </w:t>
      </w:r>
      <w:r w:rsidR="00DF063B">
        <w:rPr>
          <w:sz w:val="24"/>
          <w:szCs w:val="24"/>
        </w:rPr>
        <w:t>should</w:t>
      </w:r>
      <w:r w:rsidR="00F679A9" w:rsidRPr="00F679A9">
        <w:rPr>
          <w:sz w:val="24"/>
          <w:szCs w:val="24"/>
        </w:rPr>
        <w:t xml:space="preserve"> not provide the advanced services and technologies that consumers may want in the future. </w:t>
      </w:r>
      <w:r w:rsidR="00045415">
        <w:rPr>
          <w:sz w:val="24"/>
          <w:szCs w:val="24"/>
        </w:rPr>
        <w:t xml:space="preserve">The cooperatives participating in the NE workshop </w:t>
      </w:r>
      <w:r w:rsidR="00DF063B">
        <w:rPr>
          <w:sz w:val="24"/>
          <w:szCs w:val="24"/>
        </w:rPr>
        <w:t>gave</w:t>
      </w:r>
      <w:r w:rsidR="00045415">
        <w:rPr>
          <w:sz w:val="24"/>
          <w:szCs w:val="24"/>
        </w:rPr>
        <w:t xml:space="preserve"> prime examples of </w:t>
      </w:r>
      <w:r w:rsidR="00DF063B">
        <w:rPr>
          <w:sz w:val="24"/>
          <w:szCs w:val="24"/>
        </w:rPr>
        <w:t xml:space="preserve">how </w:t>
      </w:r>
      <w:r w:rsidR="00045415">
        <w:rPr>
          <w:sz w:val="24"/>
          <w:szCs w:val="24"/>
        </w:rPr>
        <w:t>the</w:t>
      </w:r>
      <w:r w:rsidR="00DF063B">
        <w:rPr>
          <w:sz w:val="24"/>
          <w:szCs w:val="24"/>
        </w:rPr>
        <w:t xml:space="preserve">y </w:t>
      </w:r>
      <w:r w:rsidR="00045415">
        <w:rPr>
          <w:sz w:val="24"/>
          <w:szCs w:val="24"/>
        </w:rPr>
        <w:t xml:space="preserve"> provid</w:t>
      </w:r>
      <w:r w:rsidR="00DF063B">
        <w:rPr>
          <w:sz w:val="24"/>
          <w:szCs w:val="24"/>
        </w:rPr>
        <w:t>ed</w:t>
      </w:r>
      <w:r w:rsidR="00045415">
        <w:rPr>
          <w:sz w:val="24"/>
          <w:szCs w:val="24"/>
        </w:rPr>
        <w:t xml:space="preserve"> reliable and affordable power supply to their member</w:t>
      </w:r>
      <w:r w:rsidR="00DF063B">
        <w:rPr>
          <w:sz w:val="24"/>
          <w:szCs w:val="24"/>
        </w:rPr>
        <w:t>-</w:t>
      </w:r>
      <w:r w:rsidR="00045415">
        <w:rPr>
          <w:sz w:val="24"/>
          <w:szCs w:val="24"/>
        </w:rPr>
        <w:t xml:space="preserve">consumers, while also addressing the needs </w:t>
      </w:r>
      <w:r w:rsidR="00E73BC7">
        <w:rPr>
          <w:sz w:val="24"/>
          <w:szCs w:val="24"/>
        </w:rPr>
        <w:t>and</w:t>
      </w:r>
      <w:r w:rsidR="00045415">
        <w:rPr>
          <w:sz w:val="24"/>
          <w:szCs w:val="24"/>
        </w:rPr>
        <w:t xml:space="preserve"> desires </w:t>
      </w:r>
      <w:r w:rsidR="00DF063B">
        <w:rPr>
          <w:sz w:val="24"/>
          <w:szCs w:val="24"/>
        </w:rPr>
        <w:t>of</w:t>
      </w:r>
      <w:r w:rsidR="00045415">
        <w:rPr>
          <w:sz w:val="24"/>
          <w:szCs w:val="24"/>
        </w:rPr>
        <w:t xml:space="preserve"> those consumers who want to explore alternative services or technologies, </w:t>
      </w:r>
      <w:r w:rsidR="00DF063B">
        <w:rPr>
          <w:sz w:val="24"/>
          <w:szCs w:val="24"/>
        </w:rPr>
        <w:t xml:space="preserve">such as </w:t>
      </w:r>
      <w:r w:rsidR="00045415">
        <w:rPr>
          <w:sz w:val="24"/>
          <w:szCs w:val="24"/>
        </w:rPr>
        <w:t xml:space="preserve"> distributed generation, demand-side management system</w:t>
      </w:r>
      <w:r w:rsidR="00DF063B">
        <w:rPr>
          <w:sz w:val="24"/>
          <w:szCs w:val="24"/>
        </w:rPr>
        <w:t xml:space="preserve"> and </w:t>
      </w:r>
      <w:r w:rsidR="00045415">
        <w:rPr>
          <w:sz w:val="24"/>
          <w:szCs w:val="24"/>
        </w:rPr>
        <w:t>advanced metering</w:t>
      </w:r>
      <w:r w:rsidR="00DF063B">
        <w:rPr>
          <w:sz w:val="24"/>
          <w:szCs w:val="24"/>
        </w:rPr>
        <w:t>.</w:t>
      </w:r>
    </w:p>
    <w:p w:rsidR="00E73BC7" w:rsidRDefault="00E73BC7" w:rsidP="00F679A9">
      <w:pPr>
        <w:rPr>
          <w:sz w:val="24"/>
          <w:szCs w:val="24"/>
        </w:rPr>
      </w:pPr>
    </w:p>
    <w:p w:rsidR="007858C9" w:rsidRDefault="0010319E" w:rsidP="00F679A9">
      <w:pPr>
        <w:rPr>
          <w:sz w:val="24"/>
          <w:szCs w:val="24"/>
        </w:rPr>
      </w:pPr>
      <w:r>
        <w:rPr>
          <w:sz w:val="24"/>
          <w:szCs w:val="24"/>
        </w:rPr>
        <w:t xml:space="preserve">In other </w:t>
      </w:r>
      <w:r w:rsidR="00DF063B">
        <w:rPr>
          <w:sz w:val="24"/>
          <w:szCs w:val="24"/>
        </w:rPr>
        <w:t xml:space="preserve">FOG </w:t>
      </w:r>
      <w:r>
        <w:rPr>
          <w:sz w:val="24"/>
          <w:szCs w:val="24"/>
        </w:rPr>
        <w:t xml:space="preserve">workshops, such as the </w:t>
      </w:r>
      <w:r w:rsidR="00DF063B">
        <w:rPr>
          <w:sz w:val="24"/>
          <w:szCs w:val="24"/>
        </w:rPr>
        <w:t>S</w:t>
      </w:r>
      <w:r>
        <w:rPr>
          <w:sz w:val="24"/>
          <w:szCs w:val="24"/>
        </w:rPr>
        <w:t>outh</w:t>
      </w:r>
      <w:r w:rsidR="00035A2F">
        <w:rPr>
          <w:sz w:val="24"/>
          <w:szCs w:val="24"/>
        </w:rPr>
        <w:t xml:space="preserve"> </w:t>
      </w:r>
      <w:r w:rsidR="00DF063B">
        <w:rPr>
          <w:sz w:val="24"/>
          <w:szCs w:val="24"/>
        </w:rPr>
        <w:t>E</w:t>
      </w:r>
      <w:r>
        <w:rPr>
          <w:sz w:val="24"/>
          <w:szCs w:val="24"/>
        </w:rPr>
        <w:t>ast</w:t>
      </w:r>
      <w:r w:rsidR="00035A2F">
        <w:rPr>
          <w:sz w:val="24"/>
          <w:szCs w:val="24"/>
        </w:rPr>
        <w:t xml:space="preserve"> (SE)</w:t>
      </w:r>
      <w:r w:rsidR="00DF063B">
        <w:rPr>
          <w:sz w:val="24"/>
          <w:szCs w:val="24"/>
        </w:rPr>
        <w:t>,</w:t>
      </w:r>
      <w:r>
        <w:rPr>
          <w:sz w:val="24"/>
          <w:szCs w:val="24"/>
        </w:rPr>
        <w:t xml:space="preserve"> t</w:t>
      </w:r>
      <w:r w:rsidR="00F679A9" w:rsidRPr="00F679A9">
        <w:rPr>
          <w:sz w:val="24"/>
          <w:szCs w:val="24"/>
        </w:rPr>
        <w:t xml:space="preserve">he larger concerns </w:t>
      </w:r>
      <w:r>
        <w:rPr>
          <w:sz w:val="24"/>
          <w:szCs w:val="24"/>
        </w:rPr>
        <w:t>expressed by some utilities</w:t>
      </w:r>
      <w:r w:rsidR="00F679A9" w:rsidRPr="00F679A9">
        <w:rPr>
          <w:sz w:val="24"/>
          <w:szCs w:val="24"/>
        </w:rPr>
        <w:t xml:space="preserve"> </w:t>
      </w:r>
      <w:r w:rsidR="007858C9">
        <w:rPr>
          <w:sz w:val="24"/>
          <w:szCs w:val="24"/>
        </w:rPr>
        <w:t>centered around</w:t>
      </w:r>
      <w:r w:rsidR="00F679A9" w:rsidRPr="00F679A9">
        <w:rPr>
          <w:sz w:val="24"/>
          <w:szCs w:val="24"/>
        </w:rPr>
        <w:t xml:space="preserve"> a need for a “level playing field,” where some utilities </w:t>
      </w:r>
      <w:r w:rsidR="00855196">
        <w:rPr>
          <w:sz w:val="24"/>
          <w:szCs w:val="24"/>
        </w:rPr>
        <w:t xml:space="preserve">actually </w:t>
      </w:r>
      <w:r w:rsidR="00F679A9" w:rsidRPr="00F679A9">
        <w:rPr>
          <w:sz w:val="24"/>
          <w:szCs w:val="24"/>
        </w:rPr>
        <w:t xml:space="preserve">felt restricted by their state regulators in their ability to compete with third party providers for creative or advanced services/technologies. This illustrates an </w:t>
      </w:r>
      <w:r>
        <w:rPr>
          <w:sz w:val="24"/>
          <w:szCs w:val="24"/>
        </w:rPr>
        <w:t>example</w:t>
      </w:r>
      <w:r w:rsidR="00F679A9" w:rsidRPr="00F679A9">
        <w:rPr>
          <w:sz w:val="24"/>
          <w:szCs w:val="24"/>
        </w:rPr>
        <w:t xml:space="preserve"> where regulations implemented with the “good intention” of providing third party service providers an opportunity to fairly compete with the incumbent utility</w:t>
      </w:r>
      <w:r w:rsidR="003F48AA">
        <w:rPr>
          <w:sz w:val="24"/>
          <w:szCs w:val="24"/>
        </w:rPr>
        <w:t xml:space="preserve"> </w:t>
      </w:r>
      <w:r w:rsidR="00F679A9" w:rsidRPr="00F679A9">
        <w:rPr>
          <w:sz w:val="24"/>
          <w:szCs w:val="24"/>
        </w:rPr>
        <w:t xml:space="preserve">may have the unintended consequences of actually working against the advancement of technologies and services consumers may want. </w:t>
      </w:r>
      <w:r>
        <w:rPr>
          <w:sz w:val="24"/>
          <w:szCs w:val="24"/>
        </w:rPr>
        <w:t xml:space="preserve"> </w:t>
      </w:r>
      <w:r w:rsidR="00F679A9" w:rsidRPr="00F679A9">
        <w:rPr>
          <w:sz w:val="24"/>
          <w:szCs w:val="24"/>
        </w:rPr>
        <w:t>Technologies can change fast and come and go, but consumers on the electric grid need the stability and reliability provided by a local utility to help support these continually changing situations, especially when it comes to new technologies.</w:t>
      </w:r>
    </w:p>
    <w:p w:rsidR="007858C9" w:rsidRDefault="007858C9" w:rsidP="00F679A9">
      <w:pPr>
        <w:rPr>
          <w:sz w:val="24"/>
          <w:szCs w:val="24"/>
        </w:rPr>
      </w:pPr>
    </w:p>
    <w:p w:rsidR="00E73BC7" w:rsidRDefault="00D120A2" w:rsidP="00F679A9">
      <w:pPr>
        <w:rPr>
          <w:sz w:val="24"/>
          <w:szCs w:val="24"/>
        </w:rPr>
      </w:pPr>
      <w:r>
        <w:rPr>
          <w:sz w:val="24"/>
          <w:szCs w:val="24"/>
        </w:rPr>
        <w:t>Workshop</w:t>
      </w:r>
      <w:r w:rsidR="00DF063B">
        <w:rPr>
          <w:sz w:val="24"/>
          <w:szCs w:val="24"/>
        </w:rPr>
        <w:t xml:space="preserve"> discussion</w:t>
      </w:r>
      <w:r>
        <w:rPr>
          <w:sz w:val="24"/>
          <w:szCs w:val="24"/>
        </w:rPr>
        <w:t>s</w:t>
      </w:r>
      <w:r w:rsidR="00DF063B">
        <w:rPr>
          <w:sz w:val="24"/>
          <w:szCs w:val="24"/>
        </w:rPr>
        <w:t xml:space="preserve"> did not conclude</w:t>
      </w:r>
      <w:r w:rsidR="00DF063B" w:rsidRPr="00DF063B">
        <w:rPr>
          <w:sz w:val="24"/>
          <w:szCs w:val="24"/>
        </w:rPr>
        <w:t xml:space="preserve"> that third-party providers should be shut out of the process, </w:t>
      </w:r>
      <w:r w:rsidR="00DF063B">
        <w:rPr>
          <w:sz w:val="24"/>
          <w:szCs w:val="24"/>
        </w:rPr>
        <w:t>rather, that</w:t>
      </w:r>
      <w:r w:rsidR="00DF063B" w:rsidRPr="00DF063B">
        <w:rPr>
          <w:sz w:val="24"/>
          <w:szCs w:val="24"/>
        </w:rPr>
        <w:t xml:space="preserve"> cost issues must be addressed up front to avoid cost shifting or other inequities between consumers regardless of how the services or technologies are provided, or who provides them.</w:t>
      </w:r>
      <w:r w:rsidR="0010319E">
        <w:rPr>
          <w:sz w:val="24"/>
          <w:szCs w:val="24"/>
        </w:rPr>
        <w:t xml:space="preserve"> Whether third parties or the local utility is the provider of new technologies, the local utility has an essential role in providing reliable information to those consumers about their service</w:t>
      </w:r>
      <w:r w:rsidR="005C550C">
        <w:rPr>
          <w:sz w:val="24"/>
          <w:szCs w:val="24"/>
        </w:rPr>
        <w:t xml:space="preserve"> and assistance as needed to assure a reliable and safe installation.</w:t>
      </w:r>
      <w:r w:rsidR="00E73BC7">
        <w:rPr>
          <w:sz w:val="24"/>
          <w:szCs w:val="24"/>
        </w:rPr>
        <w:t xml:space="preserve">  </w:t>
      </w:r>
      <w:r w:rsidR="00F679A9" w:rsidRPr="00F679A9">
        <w:rPr>
          <w:sz w:val="24"/>
          <w:szCs w:val="24"/>
        </w:rPr>
        <w:t xml:space="preserve">The cooperatives participating in these workshops </w:t>
      </w:r>
      <w:r w:rsidR="005C550C">
        <w:rPr>
          <w:sz w:val="24"/>
          <w:szCs w:val="24"/>
        </w:rPr>
        <w:t>provided many examples  where the co</w:t>
      </w:r>
      <w:r w:rsidR="00DF063B">
        <w:rPr>
          <w:sz w:val="24"/>
          <w:szCs w:val="24"/>
        </w:rPr>
        <w:t>-</w:t>
      </w:r>
      <w:r w:rsidR="005C550C">
        <w:rPr>
          <w:sz w:val="24"/>
          <w:szCs w:val="24"/>
        </w:rPr>
        <w:t>op</w:t>
      </w:r>
      <w:r w:rsidR="007858C9">
        <w:rPr>
          <w:sz w:val="24"/>
          <w:szCs w:val="24"/>
        </w:rPr>
        <w:t>s</w:t>
      </w:r>
      <w:r w:rsidR="005C550C">
        <w:rPr>
          <w:sz w:val="24"/>
          <w:szCs w:val="24"/>
        </w:rPr>
        <w:t xml:space="preserve"> h</w:t>
      </w:r>
      <w:r w:rsidR="007858C9">
        <w:rPr>
          <w:sz w:val="24"/>
          <w:szCs w:val="24"/>
        </w:rPr>
        <w:t>ave</w:t>
      </w:r>
      <w:r w:rsidR="005C550C">
        <w:rPr>
          <w:sz w:val="24"/>
          <w:szCs w:val="24"/>
        </w:rPr>
        <w:t xml:space="preserve"> </w:t>
      </w:r>
      <w:r>
        <w:rPr>
          <w:sz w:val="24"/>
          <w:szCs w:val="24"/>
        </w:rPr>
        <w:t>deployed</w:t>
      </w:r>
      <w:r w:rsidR="005C550C">
        <w:rPr>
          <w:sz w:val="24"/>
          <w:szCs w:val="24"/>
        </w:rPr>
        <w:t xml:space="preserve"> new technology projects such as community solar PV at their members’ behest, or provided support to those members who chose to contract with third parties for project installations on their own premises. </w:t>
      </w:r>
      <w:r w:rsidR="00DF063B" w:rsidRPr="003F48AA">
        <w:rPr>
          <w:sz w:val="24"/>
          <w:szCs w:val="24"/>
        </w:rPr>
        <w:t xml:space="preserve">The cooperative model helps promote opportunities for investing in new technologies or starting new services, while providing the services some consumer members may want without negative impacts on those who like the status quo. </w:t>
      </w:r>
      <w:r w:rsidR="00A900DA" w:rsidRPr="003F48AA">
        <w:rPr>
          <w:sz w:val="24"/>
          <w:szCs w:val="24"/>
        </w:rPr>
        <w:t xml:space="preserve"> </w:t>
      </w:r>
    </w:p>
    <w:p w:rsidR="003F48AA" w:rsidRPr="003F48AA" w:rsidRDefault="003F48AA" w:rsidP="00F679A9">
      <w:pPr>
        <w:rPr>
          <w:sz w:val="24"/>
          <w:szCs w:val="24"/>
        </w:rPr>
      </w:pPr>
    </w:p>
    <w:p w:rsidR="002D5E1F" w:rsidRDefault="00AF670C" w:rsidP="00F679A9">
      <w:pPr>
        <w:rPr>
          <w:sz w:val="24"/>
          <w:szCs w:val="24"/>
        </w:rPr>
      </w:pPr>
      <w:r w:rsidRPr="00AF670C">
        <w:rPr>
          <w:sz w:val="24"/>
          <w:szCs w:val="24"/>
        </w:rPr>
        <w:t xml:space="preserve">FOG workshop participants discussed the role ratemaking plays in striking a balance between encouraging technologies such as solar PV and avoiding cost shifting among consumers or   utility under-recovery of fixed costs for its T&amp;D facilities.  The overall conclusion at the SE workshop was that regardless of the local utility business structure, the utility must be able to recover the costs of capital investments for infrastructure from all those who use and benefit from those facilities, including customers with DG who will be taking less energy from the system, or potentially providing/selling energy back onto the local system. Utilities need to know what their fixed and variable costs are, and </w:t>
      </w:r>
      <w:r w:rsidR="003F48AA">
        <w:rPr>
          <w:sz w:val="24"/>
          <w:szCs w:val="24"/>
        </w:rPr>
        <w:t xml:space="preserve">to </w:t>
      </w:r>
      <w:r w:rsidRPr="00AF670C">
        <w:rPr>
          <w:sz w:val="24"/>
          <w:szCs w:val="24"/>
        </w:rPr>
        <w:t xml:space="preserve">be prepared to develop new rates for </w:t>
      </w:r>
      <w:r w:rsidRPr="00AF670C">
        <w:rPr>
          <w:sz w:val="24"/>
          <w:szCs w:val="24"/>
        </w:rPr>
        <w:lastRenderedPageBreak/>
        <w:t xml:space="preserve">customers with DG to be able to recover investment costs for facilities fairly from all customers. With proper ratemaking approaches in place that </w:t>
      </w:r>
      <w:r w:rsidR="007858C9">
        <w:rPr>
          <w:sz w:val="24"/>
          <w:szCs w:val="24"/>
        </w:rPr>
        <w:t>equitably</w:t>
      </w:r>
      <w:r w:rsidRPr="00AF670C">
        <w:rPr>
          <w:sz w:val="24"/>
          <w:szCs w:val="24"/>
        </w:rPr>
        <w:t xml:space="preserve"> allocate and recover costs, there </w:t>
      </w:r>
      <w:r w:rsidR="00D33BED">
        <w:rPr>
          <w:sz w:val="24"/>
          <w:szCs w:val="24"/>
        </w:rPr>
        <w:t xml:space="preserve">is </w:t>
      </w:r>
      <w:r w:rsidRPr="00AF670C">
        <w:rPr>
          <w:sz w:val="24"/>
          <w:szCs w:val="24"/>
        </w:rPr>
        <w:t>no need to embark on complex and expensive processes to disaggregate core utility functions to meet customers changing needs.</w:t>
      </w:r>
    </w:p>
    <w:p w:rsidR="00AF670C" w:rsidRDefault="00AF670C" w:rsidP="00CA7C1D">
      <w:pPr>
        <w:rPr>
          <w:b/>
          <w:sz w:val="24"/>
          <w:szCs w:val="24"/>
        </w:rPr>
      </w:pPr>
    </w:p>
    <w:p w:rsidR="00D120A2" w:rsidRDefault="002D5E1F" w:rsidP="00CA7C1D">
      <w:pPr>
        <w:rPr>
          <w:b/>
          <w:sz w:val="24"/>
          <w:szCs w:val="24"/>
          <w:u w:val="single"/>
        </w:rPr>
      </w:pPr>
      <w:r w:rsidRPr="003F48AA">
        <w:rPr>
          <w:b/>
          <w:sz w:val="24"/>
          <w:szCs w:val="24"/>
          <w:u w:val="single"/>
        </w:rPr>
        <w:t xml:space="preserve">Co-ops, </w:t>
      </w:r>
      <w:r w:rsidR="003F48AA">
        <w:rPr>
          <w:b/>
          <w:sz w:val="24"/>
          <w:szCs w:val="24"/>
          <w:u w:val="single"/>
        </w:rPr>
        <w:t>I</w:t>
      </w:r>
      <w:r w:rsidRPr="003F48AA">
        <w:rPr>
          <w:b/>
          <w:sz w:val="24"/>
          <w:szCs w:val="24"/>
          <w:u w:val="single"/>
        </w:rPr>
        <w:t xml:space="preserve">ncluding </w:t>
      </w:r>
      <w:r w:rsidR="00D120A2" w:rsidRPr="003F48AA">
        <w:rPr>
          <w:b/>
          <w:sz w:val="24"/>
          <w:szCs w:val="24"/>
          <w:u w:val="single"/>
        </w:rPr>
        <w:t>the Cooperative Research Network (</w:t>
      </w:r>
      <w:r w:rsidRPr="003F48AA">
        <w:rPr>
          <w:b/>
          <w:sz w:val="24"/>
          <w:szCs w:val="24"/>
          <w:u w:val="single"/>
        </w:rPr>
        <w:t>CRN</w:t>
      </w:r>
      <w:r w:rsidR="00D120A2" w:rsidRPr="003F48AA">
        <w:rPr>
          <w:b/>
          <w:sz w:val="24"/>
          <w:szCs w:val="24"/>
          <w:u w:val="single"/>
        </w:rPr>
        <w:t>)</w:t>
      </w:r>
      <w:r w:rsidR="00663091">
        <w:rPr>
          <w:b/>
          <w:sz w:val="24"/>
          <w:szCs w:val="24"/>
          <w:u w:val="single"/>
        </w:rPr>
        <w:t>,</w:t>
      </w:r>
      <w:r w:rsidRPr="003F48AA">
        <w:rPr>
          <w:b/>
          <w:sz w:val="24"/>
          <w:szCs w:val="24"/>
          <w:u w:val="single"/>
        </w:rPr>
        <w:t xml:space="preserve"> </w:t>
      </w:r>
      <w:r w:rsidR="003F48AA">
        <w:rPr>
          <w:b/>
          <w:sz w:val="24"/>
          <w:szCs w:val="24"/>
          <w:u w:val="single"/>
        </w:rPr>
        <w:t>A</w:t>
      </w:r>
      <w:r w:rsidRPr="003F48AA">
        <w:rPr>
          <w:b/>
          <w:sz w:val="24"/>
          <w:szCs w:val="24"/>
          <w:u w:val="single"/>
        </w:rPr>
        <w:t xml:space="preserve">re </w:t>
      </w:r>
      <w:r w:rsidR="003F48AA">
        <w:rPr>
          <w:b/>
          <w:sz w:val="24"/>
          <w:szCs w:val="24"/>
          <w:u w:val="single"/>
        </w:rPr>
        <w:t>D</w:t>
      </w:r>
      <w:r w:rsidRPr="003F48AA">
        <w:rPr>
          <w:b/>
          <w:sz w:val="24"/>
          <w:szCs w:val="24"/>
          <w:u w:val="single"/>
        </w:rPr>
        <w:t xml:space="preserve">oing </w:t>
      </w:r>
      <w:r w:rsidR="003F48AA">
        <w:rPr>
          <w:b/>
          <w:sz w:val="24"/>
          <w:szCs w:val="24"/>
          <w:u w:val="single"/>
        </w:rPr>
        <w:t>T</w:t>
      </w:r>
      <w:r w:rsidRPr="003F48AA">
        <w:rPr>
          <w:b/>
          <w:sz w:val="24"/>
          <w:szCs w:val="24"/>
          <w:u w:val="single"/>
        </w:rPr>
        <w:t xml:space="preserve">heir </w:t>
      </w:r>
      <w:r w:rsidR="003F48AA">
        <w:rPr>
          <w:b/>
          <w:sz w:val="24"/>
          <w:szCs w:val="24"/>
          <w:u w:val="single"/>
        </w:rPr>
        <w:t>P</w:t>
      </w:r>
      <w:r w:rsidRPr="003F48AA">
        <w:rPr>
          <w:b/>
          <w:sz w:val="24"/>
          <w:szCs w:val="24"/>
          <w:u w:val="single"/>
        </w:rPr>
        <w:t xml:space="preserve">art to </w:t>
      </w:r>
      <w:r w:rsidR="003F48AA">
        <w:rPr>
          <w:b/>
          <w:sz w:val="24"/>
          <w:szCs w:val="24"/>
          <w:u w:val="single"/>
        </w:rPr>
        <w:t>A</w:t>
      </w:r>
      <w:r w:rsidRPr="003F48AA">
        <w:rPr>
          <w:b/>
          <w:sz w:val="24"/>
          <w:szCs w:val="24"/>
          <w:u w:val="single"/>
        </w:rPr>
        <w:t xml:space="preserve">dvance </w:t>
      </w:r>
      <w:r w:rsidR="003F48AA">
        <w:rPr>
          <w:b/>
          <w:sz w:val="24"/>
          <w:szCs w:val="24"/>
          <w:u w:val="single"/>
        </w:rPr>
        <w:t>G</w:t>
      </w:r>
      <w:r w:rsidRPr="003F48AA">
        <w:rPr>
          <w:b/>
          <w:sz w:val="24"/>
          <w:szCs w:val="24"/>
          <w:u w:val="single"/>
        </w:rPr>
        <w:t xml:space="preserve">rid </w:t>
      </w:r>
      <w:r w:rsidR="003F48AA">
        <w:rPr>
          <w:b/>
          <w:sz w:val="24"/>
          <w:szCs w:val="24"/>
          <w:u w:val="single"/>
        </w:rPr>
        <w:t>T</w:t>
      </w:r>
      <w:r w:rsidRPr="003F48AA">
        <w:rPr>
          <w:b/>
          <w:sz w:val="24"/>
          <w:szCs w:val="24"/>
          <w:u w:val="single"/>
        </w:rPr>
        <w:t xml:space="preserve">echnologies in </w:t>
      </w:r>
      <w:r w:rsidR="003F48AA">
        <w:rPr>
          <w:b/>
          <w:sz w:val="24"/>
          <w:szCs w:val="24"/>
          <w:u w:val="single"/>
        </w:rPr>
        <w:t>C</w:t>
      </w:r>
      <w:r w:rsidRPr="003F48AA">
        <w:rPr>
          <w:b/>
          <w:sz w:val="24"/>
          <w:szCs w:val="24"/>
          <w:u w:val="single"/>
        </w:rPr>
        <w:t xml:space="preserve">ost-effective </w:t>
      </w:r>
      <w:r w:rsidR="003F48AA">
        <w:rPr>
          <w:b/>
          <w:sz w:val="24"/>
          <w:szCs w:val="24"/>
          <w:u w:val="single"/>
        </w:rPr>
        <w:t>W</w:t>
      </w:r>
      <w:r w:rsidRPr="003F48AA">
        <w:rPr>
          <w:b/>
          <w:sz w:val="24"/>
          <w:szCs w:val="24"/>
          <w:u w:val="single"/>
        </w:rPr>
        <w:t>ays</w:t>
      </w:r>
    </w:p>
    <w:p w:rsidR="003F48AA" w:rsidRPr="003F48AA" w:rsidRDefault="003F48AA" w:rsidP="00CA7C1D">
      <w:pPr>
        <w:rPr>
          <w:b/>
          <w:sz w:val="24"/>
          <w:szCs w:val="24"/>
          <w:u w:val="single"/>
        </w:rPr>
      </w:pPr>
    </w:p>
    <w:p w:rsidR="00CA7C1D" w:rsidRPr="00CA3948" w:rsidRDefault="00CA7C1D" w:rsidP="00CA7C1D">
      <w:pPr>
        <w:rPr>
          <w:rFonts w:ascii="Calibri" w:hAnsi="Calibri" w:cs="Calibri"/>
          <w:color w:val="77933C"/>
          <w:sz w:val="24"/>
          <w:szCs w:val="24"/>
        </w:rPr>
      </w:pPr>
      <w:r w:rsidRPr="00CA3948">
        <w:rPr>
          <w:sz w:val="24"/>
          <w:szCs w:val="24"/>
        </w:rPr>
        <w:t>By working directly with their member</w:t>
      </w:r>
      <w:r w:rsidR="00663091">
        <w:rPr>
          <w:sz w:val="24"/>
          <w:szCs w:val="24"/>
        </w:rPr>
        <w:t>-</w:t>
      </w:r>
      <w:r w:rsidRPr="00CA3948">
        <w:rPr>
          <w:sz w:val="24"/>
          <w:szCs w:val="24"/>
        </w:rPr>
        <w:t xml:space="preserve">consumers, </w:t>
      </w:r>
      <w:r w:rsidR="00D120A2">
        <w:rPr>
          <w:sz w:val="24"/>
          <w:szCs w:val="24"/>
        </w:rPr>
        <w:t xml:space="preserve">co-ops are widely exploring and developing </w:t>
      </w:r>
      <w:r w:rsidRPr="00CA3948">
        <w:rPr>
          <w:sz w:val="24"/>
          <w:szCs w:val="24"/>
        </w:rPr>
        <w:t>new projects for DG, smart grid</w:t>
      </w:r>
      <w:r>
        <w:rPr>
          <w:sz w:val="24"/>
          <w:szCs w:val="24"/>
        </w:rPr>
        <w:t xml:space="preserve"> installations</w:t>
      </w:r>
      <w:r w:rsidR="00D120A2">
        <w:rPr>
          <w:sz w:val="24"/>
          <w:szCs w:val="24"/>
        </w:rPr>
        <w:t xml:space="preserve"> and</w:t>
      </w:r>
      <w:r w:rsidRPr="00CA3948">
        <w:rPr>
          <w:sz w:val="24"/>
          <w:szCs w:val="24"/>
        </w:rPr>
        <w:t xml:space="preserve"> distribution system enhancements,</w:t>
      </w:r>
      <w:r w:rsidR="00D120A2">
        <w:rPr>
          <w:sz w:val="24"/>
          <w:szCs w:val="24"/>
        </w:rPr>
        <w:t xml:space="preserve"> to name a few.</w:t>
      </w:r>
      <w:r w:rsidRPr="00CA3948">
        <w:rPr>
          <w:sz w:val="24"/>
          <w:szCs w:val="24"/>
        </w:rPr>
        <w:t xml:space="preserve">  Partnership with and support from the DOE has been crucial in helping many of these projects become viable. That support is needed to continue to advance the ball on the improved reliability and economics of new technologies. For example</w:t>
      </w:r>
      <w:r>
        <w:rPr>
          <w:b/>
          <w:sz w:val="24"/>
          <w:szCs w:val="24"/>
        </w:rPr>
        <w:t xml:space="preserve">, </w:t>
      </w:r>
      <w:r w:rsidRPr="003F48AA">
        <w:rPr>
          <w:rFonts w:ascii="Calibri" w:hAnsi="Calibri" w:cs="Calibri"/>
          <w:color w:val="000000" w:themeColor="text1"/>
          <w:sz w:val="24"/>
          <w:szCs w:val="24"/>
        </w:rPr>
        <w:t xml:space="preserve">NRECA urges DOE to continue its support for research into data analytics that can improve the operational efficiency of smaller utilities. </w:t>
      </w:r>
      <w:r w:rsidR="00663091">
        <w:rPr>
          <w:rFonts w:ascii="Calibri" w:hAnsi="Calibri" w:cs="Calibri"/>
          <w:color w:val="000000" w:themeColor="text1"/>
          <w:sz w:val="24"/>
          <w:szCs w:val="24"/>
        </w:rPr>
        <w:t>CRN</w:t>
      </w:r>
      <w:r w:rsidRPr="003F48AA">
        <w:rPr>
          <w:rFonts w:ascii="Calibri" w:hAnsi="Calibri" w:cs="Calibri"/>
          <w:color w:val="000000" w:themeColor="text1"/>
          <w:sz w:val="24"/>
          <w:szCs w:val="24"/>
        </w:rPr>
        <w:t>, a research consortium composed of all 905 NRECA member cooperatives, has previously collaborated with DOE and the national labs to develop tools and accelerate the adoption of smart grid technology. With these advances in automation and communication comes a volume of data whose full value remains to be discovered.</w:t>
      </w:r>
      <w:r w:rsidR="00524CD6" w:rsidRPr="003F48AA">
        <w:rPr>
          <w:rFonts w:ascii="Calibri" w:hAnsi="Calibri" w:cs="Calibri"/>
          <w:color w:val="000000" w:themeColor="text1"/>
          <w:sz w:val="24"/>
          <w:szCs w:val="24"/>
        </w:rPr>
        <w:t xml:space="preserve"> In order to fully realize the value of the significant investments made equipment and analysis in this area to date, the support for the analytics process must continue. </w:t>
      </w:r>
    </w:p>
    <w:p w:rsidR="002D5E1F" w:rsidRDefault="002D5E1F" w:rsidP="00F679A9">
      <w:pPr>
        <w:rPr>
          <w:b/>
          <w:sz w:val="24"/>
          <w:szCs w:val="24"/>
        </w:rPr>
      </w:pPr>
    </w:p>
    <w:p w:rsidR="00D120A2" w:rsidRPr="003F48AA" w:rsidRDefault="00D120A2" w:rsidP="00F679A9">
      <w:pPr>
        <w:rPr>
          <w:b/>
          <w:sz w:val="24"/>
          <w:szCs w:val="24"/>
          <w:u w:val="single"/>
        </w:rPr>
      </w:pPr>
      <w:r w:rsidRPr="003F48AA">
        <w:rPr>
          <w:b/>
          <w:sz w:val="24"/>
          <w:szCs w:val="24"/>
          <w:u w:val="single"/>
        </w:rPr>
        <w:t xml:space="preserve">Continued </w:t>
      </w:r>
      <w:r w:rsidR="00661D09" w:rsidRPr="003F48AA">
        <w:rPr>
          <w:b/>
          <w:sz w:val="24"/>
          <w:szCs w:val="24"/>
          <w:u w:val="single"/>
        </w:rPr>
        <w:t xml:space="preserve">Valuable </w:t>
      </w:r>
      <w:r w:rsidRPr="003F48AA">
        <w:rPr>
          <w:b/>
          <w:sz w:val="24"/>
          <w:szCs w:val="24"/>
          <w:u w:val="single"/>
        </w:rPr>
        <w:t xml:space="preserve">Support </w:t>
      </w:r>
      <w:r w:rsidR="00663091">
        <w:rPr>
          <w:b/>
          <w:sz w:val="24"/>
          <w:szCs w:val="24"/>
          <w:u w:val="single"/>
        </w:rPr>
        <w:t>F</w:t>
      </w:r>
      <w:bookmarkStart w:id="0" w:name="_GoBack"/>
      <w:bookmarkEnd w:id="0"/>
      <w:r w:rsidRPr="003F48AA">
        <w:rPr>
          <w:b/>
          <w:sz w:val="24"/>
          <w:szCs w:val="24"/>
          <w:u w:val="single"/>
        </w:rPr>
        <w:t xml:space="preserve">rom DOE’s Office </w:t>
      </w:r>
      <w:r w:rsidR="00663091">
        <w:rPr>
          <w:b/>
          <w:sz w:val="24"/>
          <w:szCs w:val="24"/>
          <w:u w:val="single"/>
        </w:rPr>
        <w:t>o</w:t>
      </w:r>
      <w:r w:rsidRPr="003F48AA">
        <w:rPr>
          <w:b/>
          <w:sz w:val="24"/>
          <w:szCs w:val="24"/>
          <w:u w:val="single"/>
        </w:rPr>
        <w:t>f Electricity De</w:t>
      </w:r>
      <w:r w:rsidR="00663091">
        <w:rPr>
          <w:b/>
          <w:sz w:val="24"/>
          <w:szCs w:val="24"/>
          <w:u w:val="single"/>
        </w:rPr>
        <w:t>livery</w:t>
      </w:r>
      <w:r w:rsidRPr="003F48AA">
        <w:rPr>
          <w:b/>
          <w:sz w:val="24"/>
          <w:szCs w:val="24"/>
          <w:u w:val="single"/>
        </w:rPr>
        <w:t xml:space="preserve"> and Energy Reliability (OE) is Critical to</w:t>
      </w:r>
      <w:r w:rsidR="00661D09" w:rsidRPr="003F48AA">
        <w:rPr>
          <w:b/>
          <w:sz w:val="24"/>
          <w:szCs w:val="24"/>
          <w:u w:val="single"/>
        </w:rPr>
        <w:t xml:space="preserve"> Advancing Technologies </w:t>
      </w:r>
      <w:r w:rsidR="003B4DEA" w:rsidRPr="003F48AA">
        <w:rPr>
          <w:b/>
          <w:sz w:val="24"/>
          <w:szCs w:val="24"/>
          <w:u w:val="single"/>
        </w:rPr>
        <w:t>and Grid Operations</w:t>
      </w:r>
    </w:p>
    <w:p w:rsidR="00661D09" w:rsidRDefault="00661D09" w:rsidP="00F679A9">
      <w:pPr>
        <w:rPr>
          <w:b/>
          <w:sz w:val="24"/>
          <w:szCs w:val="24"/>
        </w:rPr>
      </w:pPr>
    </w:p>
    <w:p w:rsidR="002D5E1F" w:rsidRPr="00663091" w:rsidRDefault="00661D09" w:rsidP="00F679A9">
      <w:pPr>
        <w:rPr>
          <w:sz w:val="24"/>
          <w:szCs w:val="24"/>
        </w:rPr>
      </w:pPr>
      <w:r w:rsidRPr="00663091">
        <w:rPr>
          <w:sz w:val="24"/>
          <w:szCs w:val="24"/>
        </w:rPr>
        <w:t>I</w:t>
      </w:r>
      <w:r w:rsidR="00582319" w:rsidRPr="00663091">
        <w:rPr>
          <w:sz w:val="24"/>
          <w:szCs w:val="24"/>
        </w:rPr>
        <w:t>ndustry collaborative efforts</w:t>
      </w:r>
      <w:r w:rsidRPr="00663091">
        <w:rPr>
          <w:sz w:val="24"/>
          <w:szCs w:val="24"/>
        </w:rPr>
        <w:t>,</w:t>
      </w:r>
      <w:r w:rsidR="00582319" w:rsidRPr="00663091">
        <w:rPr>
          <w:sz w:val="24"/>
          <w:szCs w:val="24"/>
        </w:rPr>
        <w:t xml:space="preserve"> </w:t>
      </w:r>
      <w:r w:rsidR="00524CD6" w:rsidRPr="00663091">
        <w:rPr>
          <w:sz w:val="24"/>
          <w:szCs w:val="24"/>
        </w:rPr>
        <w:t xml:space="preserve"> </w:t>
      </w:r>
      <w:r w:rsidR="00582319" w:rsidRPr="00663091">
        <w:rPr>
          <w:sz w:val="24"/>
          <w:szCs w:val="24"/>
        </w:rPr>
        <w:t>funde</w:t>
      </w:r>
      <w:r w:rsidR="00524CD6" w:rsidRPr="00663091">
        <w:rPr>
          <w:sz w:val="24"/>
          <w:szCs w:val="24"/>
        </w:rPr>
        <w:t>d</w:t>
      </w:r>
      <w:r w:rsidR="00582319" w:rsidRPr="00663091">
        <w:rPr>
          <w:sz w:val="24"/>
          <w:szCs w:val="24"/>
        </w:rPr>
        <w:t xml:space="preserve"> through OE in the l</w:t>
      </w:r>
      <w:r w:rsidR="00524CD6" w:rsidRPr="00663091">
        <w:rPr>
          <w:sz w:val="24"/>
          <w:szCs w:val="24"/>
        </w:rPr>
        <w:t>a</w:t>
      </w:r>
      <w:r w:rsidR="00582319" w:rsidRPr="00663091">
        <w:rPr>
          <w:sz w:val="24"/>
          <w:szCs w:val="24"/>
        </w:rPr>
        <w:t>st few years, ha</w:t>
      </w:r>
      <w:r w:rsidR="003066FB" w:rsidRPr="00663091">
        <w:rPr>
          <w:sz w:val="24"/>
          <w:szCs w:val="24"/>
        </w:rPr>
        <w:t>ve</w:t>
      </w:r>
      <w:r w:rsidR="00582319" w:rsidRPr="00663091">
        <w:rPr>
          <w:sz w:val="24"/>
          <w:szCs w:val="24"/>
        </w:rPr>
        <w:t xml:space="preserve"> been instrumental in providing valuable analysis and education on the potential impacts of  expanding renewable ene</w:t>
      </w:r>
      <w:r w:rsidRPr="00663091">
        <w:rPr>
          <w:sz w:val="24"/>
          <w:szCs w:val="24"/>
        </w:rPr>
        <w:t>r</w:t>
      </w:r>
      <w:r w:rsidR="00582319" w:rsidRPr="00663091">
        <w:rPr>
          <w:sz w:val="24"/>
          <w:szCs w:val="24"/>
        </w:rPr>
        <w:t>gy, energy efficiency, demand response</w:t>
      </w:r>
      <w:r w:rsidRPr="00663091">
        <w:rPr>
          <w:sz w:val="24"/>
          <w:szCs w:val="24"/>
        </w:rPr>
        <w:t xml:space="preserve"> and</w:t>
      </w:r>
      <w:r w:rsidR="00582319" w:rsidRPr="00663091">
        <w:rPr>
          <w:sz w:val="24"/>
          <w:szCs w:val="24"/>
        </w:rPr>
        <w:t xml:space="preserve"> greenhouse gas reductio</w:t>
      </w:r>
      <w:r w:rsidR="009E73E4" w:rsidRPr="00663091">
        <w:rPr>
          <w:sz w:val="24"/>
          <w:szCs w:val="24"/>
        </w:rPr>
        <w:t>n</w:t>
      </w:r>
      <w:r w:rsidRPr="00663091">
        <w:rPr>
          <w:sz w:val="24"/>
          <w:szCs w:val="24"/>
        </w:rPr>
        <w:t xml:space="preserve"> programs.</w:t>
      </w:r>
      <w:r w:rsidR="00582319" w:rsidRPr="00663091">
        <w:rPr>
          <w:sz w:val="24"/>
          <w:szCs w:val="24"/>
        </w:rPr>
        <w:t xml:space="preserve"> </w:t>
      </w:r>
      <w:r w:rsidR="003066FB" w:rsidRPr="00663091">
        <w:rPr>
          <w:sz w:val="24"/>
          <w:szCs w:val="24"/>
        </w:rPr>
        <w:t xml:space="preserve"> </w:t>
      </w:r>
      <w:r w:rsidR="00582319" w:rsidRPr="00663091">
        <w:rPr>
          <w:sz w:val="24"/>
          <w:szCs w:val="24"/>
        </w:rPr>
        <w:t>Programs such as the Eastern Interconnection Planning Collaborative (EIPC), and its companion organization the Eastern Interconnections States Planning Collaborative (EISPC)</w:t>
      </w:r>
      <w:r w:rsidR="00A12C49">
        <w:rPr>
          <w:sz w:val="24"/>
          <w:szCs w:val="24"/>
        </w:rPr>
        <w:t>,</w:t>
      </w:r>
      <w:r w:rsidR="00582319" w:rsidRPr="00663091">
        <w:rPr>
          <w:sz w:val="24"/>
          <w:szCs w:val="24"/>
        </w:rPr>
        <w:t xml:space="preserve"> have helped identify many evolving technology and market risks and advances that will impact the interconnected grid. </w:t>
      </w:r>
      <w:r w:rsidR="003066FB" w:rsidRPr="00663091">
        <w:rPr>
          <w:sz w:val="24"/>
          <w:szCs w:val="24"/>
        </w:rPr>
        <w:t xml:space="preserve"> </w:t>
      </w:r>
      <w:r w:rsidR="00582319" w:rsidRPr="00663091">
        <w:rPr>
          <w:sz w:val="24"/>
          <w:szCs w:val="24"/>
        </w:rPr>
        <w:t>Support for the resea</w:t>
      </w:r>
      <w:r w:rsidR="003066FB" w:rsidRPr="00663091">
        <w:rPr>
          <w:sz w:val="24"/>
          <w:szCs w:val="24"/>
        </w:rPr>
        <w:t>r</w:t>
      </w:r>
      <w:r w:rsidR="00582319" w:rsidRPr="00663091">
        <w:rPr>
          <w:sz w:val="24"/>
          <w:szCs w:val="24"/>
        </w:rPr>
        <w:t xml:space="preserve">ch </w:t>
      </w:r>
      <w:r w:rsidR="007A1DC7" w:rsidRPr="00663091">
        <w:rPr>
          <w:sz w:val="24"/>
          <w:szCs w:val="24"/>
        </w:rPr>
        <w:t xml:space="preserve">projects </w:t>
      </w:r>
      <w:r w:rsidR="00582319" w:rsidRPr="00663091">
        <w:rPr>
          <w:sz w:val="24"/>
          <w:szCs w:val="24"/>
        </w:rPr>
        <w:t>and meetings of these groups has b</w:t>
      </w:r>
      <w:r w:rsidR="007A1DC7" w:rsidRPr="00663091">
        <w:rPr>
          <w:sz w:val="24"/>
          <w:szCs w:val="24"/>
        </w:rPr>
        <w:t>e</w:t>
      </w:r>
      <w:r w:rsidR="00582319" w:rsidRPr="00663091">
        <w:rPr>
          <w:sz w:val="24"/>
          <w:szCs w:val="24"/>
        </w:rPr>
        <w:t xml:space="preserve">en extremely helpful for regulators </w:t>
      </w:r>
      <w:r w:rsidR="00D75753" w:rsidRPr="00663091">
        <w:rPr>
          <w:sz w:val="24"/>
          <w:szCs w:val="24"/>
        </w:rPr>
        <w:t xml:space="preserve">and electric utilities </w:t>
      </w:r>
      <w:r w:rsidR="00582319" w:rsidRPr="00663091">
        <w:rPr>
          <w:sz w:val="24"/>
          <w:szCs w:val="24"/>
        </w:rPr>
        <w:t>who face tough choices over ne</w:t>
      </w:r>
      <w:r w:rsidR="00D75753" w:rsidRPr="00663091">
        <w:rPr>
          <w:sz w:val="24"/>
          <w:szCs w:val="24"/>
        </w:rPr>
        <w:t>w policy and technology options</w:t>
      </w:r>
      <w:r w:rsidR="00582319" w:rsidRPr="00663091">
        <w:rPr>
          <w:sz w:val="24"/>
          <w:szCs w:val="24"/>
        </w:rPr>
        <w:t xml:space="preserve"> </w:t>
      </w:r>
      <w:r w:rsidR="00D75753" w:rsidRPr="00663091">
        <w:rPr>
          <w:rFonts w:ascii="Calibri" w:hAnsi="Calibri" w:cs="Calibri"/>
          <w:sz w:val="24"/>
          <w:szCs w:val="24"/>
        </w:rPr>
        <w:t>on the potential impacts to reliability and economics due to the changing resource mix, the risks of increasing gas penetration for electric generation</w:t>
      </w:r>
      <w:r w:rsidRPr="00663091">
        <w:rPr>
          <w:rFonts w:ascii="Calibri" w:hAnsi="Calibri" w:cs="Calibri"/>
          <w:sz w:val="24"/>
          <w:szCs w:val="24"/>
        </w:rPr>
        <w:t xml:space="preserve"> and the</w:t>
      </w:r>
      <w:r w:rsidR="00663091">
        <w:rPr>
          <w:rFonts w:ascii="Calibri" w:hAnsi="Calibri" w:cs="Calibri"/>
          <w:sz w:val="24"/>
          <w:szCs w:val="24"/>
        </w:rPr>
        <w:t xml:space="preserve"> </w:t>
      </w:r>
      <w:r w:rsidR="00D75753" w:rsidRPr="00663091">
        <w:rPr>
          <w:rFonts w:ascii="Calibri" w:hAnsi="Calibri" w:cs="Calibri"/>
          <w:sz w:val="24"/>
          <w:szCs w:val="24"/>
        </w:rPr>
        <w:t>realistic impacts of increasing levels of renewables (both DG and grid-based)</w:t>
      </w:r>
      <w:r w:rsidRPr="00663091">
        <w:rPr>
          <w:rFonts w:ascii="Calibri" w:hAnsi="Calibri" w:cs="Calibri"/>
          <w:sz w:val="24"/>
          <w:szCs w:val="24"/>
        </w:rPr>
        <w:t>.</w:t>
      </w:r>
      <w:r w:rsidR="00582319" w:rsidRPr="00663091">
        <w:rPr>
          <w:sz w:val="24"/>
          <w:szCs w:val="24"/>
        </w:rPr>
        <w:t xml:space="preserve"> In addition, large scale study initiatives </w:t>
      </w:r>
      <w:r w:rsidR="00D75753" w:rsidRPr="00663091">
        <w:rPr>
          <w:sz w:val="24"/>
          <w:szCs w:val="24"/>
        </w:rPr>
        <w:t xml:space="preserve">supported by DOE/OE, </w:t>
      </w:r>
      <w:r w:rsidR="00582319" w:rsidRPr="00663091">
        <w:rPr>
          <w:sz w:val="24"/>
          <w:szCs w:val="24"/>
        </w:rPr>
        <w:t>such as the Eastern Renewable Generation Interconnection Study (ERGIS) ha</w:t>
      </w:r>
      <w:r w:rsidRPr="00663091">
        <w:rPr>
          <w:sz w:val="24"/>
          <w:szCs w:val="24"/>
        </w:rPr>
        <w:t>ve</w:t>
      </w:r>
      <w:r w:rsidR="00582319" w:rsidRPr="00663091">
        <w:rPr>
          <w:sz w:val="24"/>
          <w:szCs w:val="24"/>
        </w:rPr>
        <w:t xml:space="preserve"> provided valuable insights and models </w:t>
      </w:r>
      <w:r w:rsidR="007A1DC7" w:rsidRPr="00663091">
        <w:rPr>
          <w:sz w:val="24"/>
          <w:szCs w:val="24"/>
        </w:rPr>
        <w:t xml:space="preserve">for </w:t>
      </w:r>
      <w:r w:rsidR="00582319" w:rsidRPr="00663091">
        <w:rPr>
          <w:sz w:val="24"/>
          <w:szCs w:val="24"/>
        </w:rPr>
        <w:t xml:space="preserve">the advancement </w:t>
      </w:r>
      <w:r w:rsidR="007A1DC7" w:rsidRPr="00663091">
        <w:rPr>
          <w:sz w:val="24"/>
          <w:szCs w:val="24"/>
        </w:rPr>
        <w:t>and integration of renewable generation</w:t>
      </w:r>
      <w:r w:rsidR="00582319" w:rsidRPr="00663091">
        <w:rPr>
          <w:sz w:val="24"/>
          <w:szCs w:val="24"/>
        </w:rPr>
        <w:t xml:space="preserve"> penetration levels in</w:t>
      </w:r>
      <w:r w:rsidR="007A1DC7" w:rsidRPr="00663091">
        <w:rPr>
          <w:sz w:val="24"/>
          <w:szCs w:val="24"/>
        </w:rPr>
        <w:t xml:space="preserve"> </w:t>
      </w:r>
      <w:r w:rsidR="00582319" w:rsidRPr="00663091">
        <w:rPr>
          <w:sz w:val="24"/>
          <w:szCs w:val="24"/>
        </w:rPr>
        <w:t>a reliable and affordable way</w:t>
      </w:r>
      <w:r w:rsidR="00D75753" w:rsidRPr="00663091">
        <w:rPr>
          <w:sz w:val="24"/>
          <w:szCs w:val="24"/>
        </w:rPr>
        <w:t>, and identifying costs and impacts of these changes on the  electric system</w:t>
      </w:r>
      <w:r w:rsidR="00582319" w:rsidRPr="00663091">
        <w:rPr>
          <w:sz w:val="24"/>
          <w:szCs w:val="24"/>
        </w:rPr>
        <w:t>.</w:t>
      </w:r>
      <w:r w:rsidR="007A1DC7" w:rsidRPr="00663091">
        <w:rPr>
          <w:sz w:val="24"/>
          <w:szCs w:val="24"/>
        </w:rPr>
        <w:t xml:space="preserve"> Similar initiatives in the Western Interconnection such as the Western Wind and So</w:t>
      </w:r>
      <w:r w:rsidRPr="00663091">
        <w:rPr>
          <w:sz w:val="24"/>
          <w:szCs w:val="24"/>
        </w:rPr>
        <w:t>lar</w:t>
      </w:r>
      <w:r w:rsidR="007A1DC7" w:rsidRPr="00663091">
        <w:rPr>
          <w:sz w:val="24"/>
          <w:szCs w:val="24"/>
        </w:rPr>
        <w:t xml:space="preserve"> Integration Studies (WWSIS) and the </w:t>
      </w:r>
      <w:r w:rsidRPr="00663091">
        <w:rPr>
          <w:sz w:val="24"/>
          <w:szCs w:val="24"/>
        </w:rPr>
        <w:t>Public Utility Commission-Energy Imbalance Market (</w:t>
      </w:r>
      <w:r w:rsidR="007A1DC7" w:rsidRPr="00663091">
        <w:rPr>
          <w:sz w:val="24"/>
          <w:szCs w:val="24"/>
        </w:rPr>
        <w:t>PUC-EIM</w:t>
      </w:r>
      <w:r w:rsidRPr="00663091">
        <w:rPr>
          <w:sz w:val="24"/>
          <w:szCs w:val="24"/>
        </w:rPr>
        <w:t>)</w:t>
      </w:r>
      <w:r w:rsidR="007A1DC7" w:rsidRPr="00663091">
        <w:rPr>
          <w:sz w:val="24"/>
          <w:szCs w:val="24"/>
        </w:rPr>
        <w:t xml:space="preserve"> activities have</w:t>
      </w:r>
      <w:r w:rsidR="00D75753" w:rsidRPr="00663091">
        <w:rPr>
          <w:sz w:val="24"/>
          <w:szCs w:val="24"/>
        </w:rPr>
        <w:t xml:space="preserve"> </w:t>
      </w:r>
      <w:r w:rsidR="007A1DC7" w:rsidRPr="00663091">
        <w:rPr>
          <w:sz w:val="24"/>
          <w:szCs w:val="24"/>
        </w:rPr>
        <w:t xml:space="preserve">provided valuable insights to policy makers and the utilities </w:t>
      </w:r>
      <w:r w:rsidR="00D75753" w:rsidRPr="00663091">
        <w:rPr>
          <w:sz w:val="24"/>
          <w:szCs w:val="24"/>
        </w:rPr>
        <w:t xml:space="preserve">on the potential risks and rewards </w:t>
      </w:r>
      <w:r w:rsidR="007A1DC7" w:rsidRPr="00663091">
        <w:rPr>
          <w:sz w:val="24"/>
          <w:szCs w:val="24"/>
        </w:rPr>
        <w:t xml:space="preserve">for continued integration of large-scale renewable projects. </w:t>
      </w:r>
      <w:r w:rsidR="00D75753" w:rsidRPr="00663091">
        <w:rPr>
          <w:sz w:val="24"/>
          <w:szCs w:val="24"/>
        </w:rPr>
        <w:t>Th</w:t>
      </w:r>
      <w:r w:rsidR="007A1DC7" w:rsidRPr="00663091">
        <w:rPr>
          <w:sz w:val="24"/>
          <w:szCs w:val="24"/>
        </w:rPr>
        <w:t xml:space="preserve">is type of </w:t>
      </w:r>
      <w:r w:rsidR="00D75753" w:rsidRPr="00663091">
        <w:rPr>
          <w:sz w:val="24"/>
          <w:szCs w:val="24"/>
        </w:rPr>
        <w:t xml:space="preserve">financial </w:t>
      </w:r>
      <w:r w:rsidR="007A1DC7" w:rsidRPr="00663091">
        <w:rPr>
          <w:sz w:val="24"/>
          <w:szCs w:val="24"/>
        </w:rPr>
        <w:t>support</w:t>
      </w:r>
      <w:r w:rsidR="00D75753" w:rsidRPr="00663091">
        <w:rPr>
          <w:sz w:val="24"/>
          <w:szCs w:val="24"/>
        </w:rPr>
        <w:t xml:space="preserve"> for </w:t>
      </w:r>
      <w:r w:rsidR="00D75753" w:rsidRPr="00663091">
        <w:rPr>
          <w:sz w:val="24"/>
          <w:szCs w:val="24"/>
        </w:rPr>
        <w:lastRenderedPageBreak/>
        <w:t>continued analysis and collaboration</w:t>
      </w:r>
      <w:r w:rsidR="007A1DC7" w:rsidRPr="00663091">
        <w:rPr>
          <w:sz w:val="24"/>
          <w:szCs w:val="24"/>
        </w:rPr>
        <w:t xml:space="preserve"> is still needed to help answer many remaining unanswered questions</w:t>
      </w:r>
      <w:r w:rsidR="00D75753" w:rsidRPr="00663091">
        <w:rPr>
          <w:sz w:val="24"/>
          <w:szCs w:val="24"/>
        </w:rPr>
        <w:t xml:space="preserve"> for policy makers and the electric industry</w:t>
      </w:r>
      <w:r w:rsidR="007A1DC7" w:rsidRPr="00663091">
        <w:rPr>
          <w:sz w:val="24"/>
          <w:szCs w:val="24"/>
        </w:rPr>
        <w:t>.</w:t>
      </w:r>
    </w:p>
    <w:p w:rsidR="003066FB" w:rsidRDefault="003066FB" w:rsidP="00F679A9">
      <w:pPr>
        <w:rPr>
          <w:b/>
          <w:sz w:val="24"/>
          <w:szCs w:val="24"/>
        </w:rPr>
      </w:pPr>
    </w:p>
    <w:p w:rsidR="003066FB" w:rsidRPr="00663091" w:rsidRDefault="003066FB" w:rsidP="00F679A9">
      <w:pPr>
        <w:rPr>
          <w:sz w:val="24"/>
          <w:szCs w:val="24"/>
        </w:rPr>
      </w:pPr>
      <w:r w:rsidRPr="00663091">
        <w:rPr>
          <w:sz w:val="24"/>
          <w:szCs w:val="24"/>
        </w:rPr>
        <w:t xml:space="preserve">Even aside from its work on integrating renewables with the grid, the work being done by OE on grid engineering and operations, reliability and resilience </w:t>
      </w:r>
      <w:r w:rsidR="003B4DEA" w:rsidRPr="00663091">
        <w:rPr>
          <w:sz w:val="24"/>
          <w:szCs w:val="24"/>
        </w:rPr>
        <w:t>is</w:t>
      </w:r>
      <w:r w:rsidRPr="00663091">
        <w:rPr>
          <w:sz w:val="24"/>
          <w:szCs w:val="24"/>
        </w:rPr>
        <w:t xml:space="preserve"> critical to the industry.  NRECA values the opportunity to work with Assistant Secretary Pat Hoffman and her team.  In recent years, the work being done by each of the offices within OE</w:t>
      </w:r>
      <w:r w:rsidR="00663091">
        <w:rPr>
          <w:sz w:val="24"/>
          <w:szCs w:val="24"/>
        </w:rPr>
        <w:t>-</w:t>
      </w:r>
      <w:r w:rsidRPr="00663091">
        <w:rPr>
          <w:sz w:val="24"/>
          <w:szCs w:val="24"/>
        </w:rPr>
        <w:t xml:space="preserve"> Power Systems Engineering, National Electricity Delivery, Infrastructure Security and Energy Restoration, Energy Infrastructure and Advanced Grid Integration</w:t>
      </w:r>
      <w:r w:rsidR="00663091">
        <w:rPr>
          <w:sz w:val="24"/>
          <w:szCs w:val="24"/>
        </w:rPr>
        <w:t>-</w:t>
      </w:r>
      <w:r w:rsidRPr="00663091">
        <w:rPr>
          <w:sz w:val="24"/>
          <w:szCs w:val="24"/>
        </w:rPr>
        <w:t xml:space="preserve"> ha</w:t>
      </w:r>
      <w:r w:rsidR="003B4DEA" w:rsidRPr="00663091">
        <w:rPr>
          <w:sz w:val="24"/>
          <w:szCs w:val="24"/>
        </w:rPr>
        <w:t>s</w:t>
      </w:r>
      <w:r w:rsidRPr="00663091">
        <w:rPr>
          <w:sz w:val="24"/>
          <w:szCs w:val="24"/>
        </w:rPr>
        <w:t xml:space="preserve"> been extremely valuable.   </w:t>
      </w:r>
      <w:r w:rsidR="003B4DEA" w:rsidRPr="00663091">
        <w:rPr>
          <w:sz w:val="24"/>
          <w:szCs w:val="24"/>
        </w:rPr>
        <w:t>S</w:t>
      </w:r>
      <w:r w:rsidRPr="00663091">
        <w:rPr>
          <w:sz w:val="24"/>
          <w:szCs w:val="24"/>
        </w:rPr>
        <w:t xml:space="preserve">taff </w:t>
      </w:r>
      <w:r w:rsidR="003B4DEA" w:rsidRPr="00663091">
        <w:rPr>
          <w:sz w:val="24"/>
          <w:szCs w:val="24"/>
        </w:rPr>
        <w:t xml:space="preserve">members </w:t>
      </w:r>
      <w:r w:rsidRPr="00663091">
        <w:rPr>
          <w:sz w:val="24"/>
          <w:szCs w:val="24"/>
        </w:rPr>
        <w:t xml:space="preserve">in those offices have a depth of practical understanding of the electric grid and its operations, as well as a level of credibility with the electric utility industry, that cannot be matched elsewhere in </w:t>
      </w:r>
      <w:r w:rsidR="00A12C49">
        <w:rPr>
          <w:sz w:val="24"/>
          <w:szCs w:val="24"/>
        </w:rPr>
        <w:t>DOE</w:t>
      </w:r>
      <w:r w:rsidRPr="00663091">
        <w:rPr>
          <w:sz w:val="24"/>
          <w:szCs w:val="24"/>
        </w:rPr>
        <w:t xml:space="preserve">, allowing them to contribute significantly to the accuracy, usefulness, and credibility of the Department’s activities.  </w:t>
      </w:r>
    </w:p>
    <w:p w:rsidR="002D5E1F" w:rsidRDefault="002D5E1F" w:rsidP="00F679A9">
      <w:pPr>
        <w:rPr>
          <w:b/>
          <w:sz w:val="24"/>
          <w:szCs w:val="24"/>
        </w:rPr>
      </w:pPr>
    </w:p>
    <w:p w:rsidR="002D5E1F" w:rsidRDefault="002D5E1F" w:rsidP="00CA3948">
      <w:pPr>
        <w:ind w:left="720"/>
        <w:rPr>
          <w:b/>
          <w:sz w:val="24"/>
          <w:szCs w:val="24"/>
        </w:rPr>
      </w:pPr>
    </w:p>
    <w:p w:rsidR="002D5E1F" w:rsidRDefault="002D5E1F" w:rsidP="00CA3948">
      <w:pPr>
        <w:rPr>
          <w:b/>
          <w:sz w:val="24"/>
          <w:szCs w:val="24"/>
        </w:rPr>
      </w:pPr>
    </w:p>
    <w:p w:rsidR="002D5E1F" w:rsidRPr="002D5E1F" w:rsidRDefault="002D5E1F" w:rsidP="00CA3948">
      <w:pPr>
        <w:rPr>
          <w:b/>
          <w:sz w:val="24"/>
          <w:szCs w:val="24"/>
        </w:rPr>
      </w:pPr>
    </w:p>
    <w:p w:rsidR="002D5E1F" w:rsidRPr="00CA3948" w:rsidRDefault="002D5E1F" w:rsidP="00F679A9">
      <w:pPr>
        <w:rPr>
          <w:b/>
          <w:sz w:val="24"/>
          <w:szCs w:val="24"/>
        </w:rPr>
      </w:pPr>
    </w:p>
    <w:p w:rsidR="00A900DA" w:rsidRDefault="00A900DA" w:rsidP="00CA3948"/>
    <w:p w:rsidR="002D5E1F" w:rsidRDefault="002D5E1F" w:rsidP="00CA3948">
      <w:pPr>
        <w:rPr>
          <w:rFonts w:ascii="Calibri" w:hAnsi="Calibri" w:cs="Calibri"/>
          <w:b/>
          <w:color w:val="1F497D"/>
        </w:rPr>
      </w:pPr>
    </w:p>
    <w:p w:rsidR="00A900DA" w:rsidRDefault="00A900DA" w:rsidP="00CA3948">
      <w:pPr>
        <w:ind w:left="720"/>
        <w:rPr>
          <w:rFonts w:ascii="Calibri" w:hAnsi="Calibri" w:cs="Calibri"/>
          <w:color w:val="1F497D"/>
        </w:rPr>
      </w:pPr>
    </w:p>
    <w:p w:rsidR="00A900DA" w:rsidRDefault="00A900DA" w:rsidP="00CA3948">
      <w:pPr>
        <w:rPr>
          <w:rFonts w:ascii="Calibri" w:hAnsi="Calibri" w:cs="Calibri"/>
          <w:color w:val="1F497D"/>
        </w:rPr>
      </w:pPr>
    </w:p>
    <w:p w:rsidR="00A900DA" w:rsidRDefault="00A900DA" w:rsidP="00CA3948">
      <w:pPr>
        <w:rPr>
          <w:rFonts w:ascii="Calibri" w:hAnsi="Calibri" w:cs="Calibri"/>
          <w:color w:val="1F497D"/>
        </w:rPr>
      </w:pPr>
    </w:p>
    <w:p w:rsidR="00A900DA" w:rsidRDefault="00A900DA" w:rsidP="00CA3948">
      <w:pPr>
        <w:rPr>
          <w:rFonts w:ascii="Calibri" w:hAnsi="Calibri" w:cs="Calibri"/>
          <w:color w:val="1F497D"/>
        </w:rPr>
      </w:pPr>
    </w:p>
    <w:p w:rsidR="00411962" w:rsidRDefault="00411962" w:rsidP="00280BAC">
      <w:pPr>
        <w:rPr>
          <w:sz w:val="24"/>
          <w:szCs w:val="24"/>
        </w:rPr>
      </w:pPr>
    </w:p>
    <w:p w:rsidR="00DF6180" w:rsidRDefault="00411962" w:rsidP="00280BAC">
      <w:pPr>
        <w:rPr>
          <w:sz w:val="24"/>
          <w:szCs w:val="24"/>
        </w:rPr>
      </w:pPr>
      <w:r>
        <w:rPr>
          <w:sz w:val="24"/>
          <w:szCs w:val="24"/>
        </w:rPr>
        <w:tab/>
      </w:r>
    </w:p>
    <w:p w:rsidR="00280BAC" w:rsidRPr="00280BAC" w:rsidRDefault="00280BAC" w:rsidP="00120CEF">
      <w:pPr>
        <w:rPr>
          <w:sz w:val="24"/>
          <w:szCs w:val="24"/>
        </w:rPr>
      </w:pPr>
    </w:p>
    <w:sectPr w:rsidR="00280BAC" w:rsidRPr="00280BAC" w:rsidSect="0066309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87" w:rsidRDefault="00650487" w:rsidP="007E44C1">
      <w:r>
        <w:separator/>
      </w:r>
    </w:p>
  </w:endnote>
  <w:endnote w:type="continuationSeparator" w:id="0">
    <w:p w:rsidR="00650487" w:rsidRDefault="00650487" w:rsidP="007E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8847"/>
      <w:docPartObj>
        <w:docPartGallery w:val="Page Numbers (Bottom of Page)"/>
        <w:docPartUnique/>
      </w:docPartObj>
    </w:sdtPr>
    <w:sdtEndPr>
      <w:rPr>
        <w:noProof/>
      </w:rPr>
    </w:sdtEndPr>
    <w:sdtContent>
      <w:p w:rsidR="003F48AA" w:rsidRDefault="003F48AA">
        <w:pPr>
          <w:pStyle w:val="Footer"/>
        </w:pPr>
        <w:r>
          <w:fldChar w:fldCharType="begin"/>
        </w:r>
        <w:r>
          <w:instrText xml:space="preserve"> PAGE   \* MERGEFORMAT </w:instrText>
        </w:r>
        <w:r>
          <w:fldChar w:fldCharType="separate"/>
        </w:r>
        <w:r w:rsidR="00D33BED">
          <w:rPr>
            <w:noProof/>
          </w:rPr>
          <w:t>4</w:t>
        </w:r>
        <w:r>
          <w:rPr>
            <w:noProof/>
          </w:rPr>
          <w:fldChar w:fldCharType="end"/>
        </w:r>
      </w:p>
    </w:sdtContent>
  </w:sdt>
  <w:p w:rsidR="003F48AA" w:rsidRDefault="003F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87" w:rsidRDefault="00650487" w:rsidP="007E44C1">
      <w:r>
        <w:separator/>
      </w:r>
    </w:p>
  </w:footnote>
  <w:footnote w:type="continuationSeparator" w:id="0">
    <w:p w:rsidR="00650487" w:rsidRDefault="00650487" w:rsidP="007E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57BEF"/>
    <w:multiLevelType w:val="hybridMultilevel"/>
    <w:tmpl w:val="DC1A77E2"/>
    <w:lvl w:ilvl="0" w:tplc="C69E36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AC"/>
    <w:rsid w:val="00035A2F"/>
    <w:rsid w:val="00045415"/>
    <w:rsid w:val="000733C2"/>
    <w:rsid w:val="000828AC"/>
    <w:rsid w:val="000B0FAE"/>
    <w:rsid w:val="000B3D1F"/>
    <w:rsid w:val="000B5492"/>
    <w:rsid w:val="000D11C3"/>
    <w:rsid w:val="000D2D5A"/>
    <w:rsid w:val="0010319E"/>
    <w:rsid w:val="00106538"/>
    <w:rsid w:val="0011004F"/>
    <w:rsid w:val="00120CEF"/>
    <w:rsid w:val="00140178"/>
    <w:rsid w:val="00140E6C"/>
    <w:rsid w:val="001B0DB9"/>
    <w:rsid w:val="001D0789"/>
    <w:rsid w:val="001D66F8"/>
    <w:rsid w:val="002478CB"/>
    <w:rsid w:val="00280BAC"/>
    <w:rsid w:val="002A64D6"/>
    <w:rsid w:val="002B307A"/>
    <w:rsid w:val="002D5E1F"/>
    <w:rsid w:val="003066FB"/>
    <w:rsid w:val="0032562E"/>
    <w:rsid w:val="003A5A32"/>
    <w:rsid w:val="003A619B"/>
    <w:rsid w:val="003B0852"/>
    <w:rsid w:val="003B4DEA"/>
    <w:rsid w:val="003F48AA"/>
    <w:rsid w:val="00411962"/>
    <w:rsid w:val="004174C5"/>
    <w:rsid w:val="0045115B"/>
    <w:rsid w:val="00491343"/>
    <w:rsid w:val="004C2B52"/>
    <w:rsid w:val="004F0B4C"/>
    <w:rsid w:val="0052039C"/>
    <w:rsid w:val="00524CD6"/>
    <w:rsid w:val="00582319"/>
    <w:rsid w:val="005C550C"/>
    <w:rsid w:val="00625C80"/>
    <w:rsid w:val="00650487"/>
    <w:rsid w:val="00661D09"/>
    <w:rsid w:val="00663091"/>
    <w:rsid w:val="006D0E6B"/>
    <w:rsid w:val="00715BA2"/>
    <w:rsid w:val="00731595"/>
    <w:rsid w:val="00745662"/>
    <w:rsid w:val="007858C9"/>
    <w:rsid w:val="0078695D"/>
    <w:rsid w:val="007A1DC7"/>
    <w:rsid w:val="007D5614"/>
    <w:rsid w:val="007E44C1"/>
    <w:rsid w:val="007E4CE0"/>
    <w:rsid w:val="00855196"/>
    <w:rsid w:val="00885E22"/>
    <w:rsid w:val="00891549"/>
    <w:rsid w:val="008F5E30"/>
    <w:rsid w:val="0097457B"/>
    <w:rsid w:val="009A2290"/>
    <w:rsid w:val="009E73E4"/>
    <w:rsid w:val="00A04B91"/>
    <w:rsid w:val="00A12C49"/>
    <w:rsid w:val="00A62D36"/>
    <w:rsid w:val="00A70B67"/>
    <w:rsid w:val="00A900DA"/>
    <w:rsid w:val="00A919F9"/>
    <w:rsid w:val="00AC12DA"/>
    <w:rsid w:val="00AF670C"/>
    <w:rsid w:val="00B022B9"/>
    <w:rsid w:val="00B569C0"/>
    <w:rsid w:val="00BB3C1F"/>
    <w:rsid w:val="00BE4BE9"/>
    <w:rsid w:val="00C17D48"/>
    <w:rsid w:val="00C2066F"/>
    <w:rsid w:val="00C328A9"/>
    <w:rsid w:val="00C40F48"/>
    <w:rsid w:val="00CA0EFE"/>
    <w:rsid w:val="00CA3948"/>
    <w:rsid w:val="00CA6394"/>
    <w:rsid w:val="00CA7C1D"/>
    <w:rsid w:val="00CB266B"/>
    <w:rsid w:val="00D120A2"/>
    <w:rsid w:val="00D33BED"/>
    <w:rsid w:val="00D41929"/>
    <w:rsid w:val="00D75753"/>
    <w:rsid w:val="00DF063B"/>
    <w:rsid w:val="00DF6180"/>
    <w:rsid w:val="00E73BC7"/>
    <w:rsid w:val="00EC091A"/>
    <w:rsid w:val="00F50753"/>
    <w:rsid w:val="00F617E9"/>
    <w:rsid w:val="00F679A9"/>
    <w:rsid w:val="00F9225A"/>
    <w:rsid w:val="00FA130B"/>
    <w:rsid w:val="00FB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AC"/>
    <w:rPr>
      <w:color w:val="0000FF" w:themeColor="hyperlink"/>
      <w:u w:val="single"/>
    </w:rPr>
  </w:style>
  <w:style w:type="paragraph" w:styleId="FootnoteText">
    <w:name w:val="footnote text"/>
    <w:basedOn w:val="Normal"/>
    <w:link w:val="FootnoteTextChar"/>
    <w:uiPriority w:val="99"/>
    <w:semiHidden/>
    <w:unhideWhenUsed/>
    <w:rsid w:val="007E44C1"/>
    <w:rPr>
      <w:sz w:val="20"/>
      <w:szCs w:val="20"/>
    </w:rPr>
  </w:style>
  <w:style w:type="character" w:customStyle="1" w:styleId="FootnoteTextChar">
    <w:name w:val="Footnote Text Char"/>
    <w:basedOn w:val="DefaultParagraphFont"/>
    <w:link w:val="FootnoteText"/>
    <w:uiPriority w:val="99"/>
    <w:semiHidden/>
    <w:rsid w:val="007E44C1"/>
    <w:rPr>
      <w:sz w:val="20"/>
      <w:szCs w:val="20"/>
    </w:rPr>
  </w:style>
  <w:style w:type="character" w:styleId="FootnoteReference">
    <w:name w:val="footnote reference"/>
    <w:basedOn w:val="DefaultParagraphFont"/>
    <w:uiPriority w:val="99"/>
    <w:semiHidden/>
    <w:unhideWhenUsed/>
    <w:rsid w:val="007E44C1"/>
    <w:rPr>
      <w:vertAlign w:val="superscript"/>
    </w:rPr>
  </w:style>
  <w:style w:type="paragraph" w:styleId="BalloonText">
    <w:name w:val="Balloon Text"/>
    <w:basedOn w:val="Normal"/>
    <w:link w:val="BalloonTextChar"/>
    <w:uiPriority w:val="99"/>
    <w:semiHidden/>
    <w:unhideWhenUsed/>
    <w:rsid w:val="001B0DB9"/>
    <w:rPr>
      <w:rFonts w:ascii="Tahoma" w:hAnsi="Tahoma" w:cs="Tahoma"/>
      <w:sz w:val="16"/>
      <w:szCs w:val="16"/>
    </w:rPr>
  </w:style>
  <w:style w:type="character" w:customStyle="1" w:styleId="BalloonTextChar">
    <w:name w:val="Balloon Text Char"/>
    <w:basedOn w:val="DefaultParagraphFont"/>
    <w:link w:val="BalloonText"/>
    <w:uiPriority w:val="99"/>
    <w:semiHidden/>
    <w:rsid w:val="001B0DB9"/>
    <w:rPr>
      <w:rFonts w:ascii="Tahoma" w:hAnsi="Tahoma" w:cs="Tahoma"/>
      <w:sz w:val="16"/>
      <w:szCs w:val="16"/>
    </w:rPr>
  </w:style>
  <w:style w:type="paragraph" w:styleId="ListParagraph">
    <w:name w:val="List Paragraph"/>
    <w:basedOn w:val="Normal"/>
    <w:uiPriority w:val="34"/>
    <w:qFormat/>
    <w:rsid w:val="00A900DA"/>
    <w:pPr>
      <w:ind w:left="720"/>
    </w:pPr>
    <w:rPr>
      <w:rFonts w:ascii="Times New Roman" w:hAnsi="Times New Roman" w:cs="Times New Roman"/>
      <w:sz w:val="24"/>
      <w:szCs w:val="24"/>
    </w:rPr>
  </w:style>
  <w:style w:type="paragraph" w:styleId="Header">
    <w:name w:val="header"/>
    <w:basedOn w:val="Normal"/>
    <w:link w:val="HeaderChar"/>
    <w:uiPriority w:val="99"/>
    <w:unhideWhenUsed/>
    <w:rsid w:val="003F48AA"/>
    <w:pPr>
      <w:tabs>
        <w:tab w:val="center" w:pos="4680"/>
        <w:tab w:val="right" w:pos="9360"/>
      </w:tabs>
    </w:pPr>
  </w:style>
  <w:style w:type="character" w:customStyle="1" w:styleId="HeaderChar">
    <w:name w:val="Header Char"/>
    <w:basedOn w:val="DefaultParagraphFont"/>
    <w:link w:val="Header"/>
    <w:uiPriority w:val="99"/>
    <w:rsid w:val="003F48AA"/>
  </w:style>
  <w:style w:type="paragraph" w:styleId="Footer">
    <w:name w:val="footer"/>
    <w:basedOn w:val="Normal"/>
    <w:link w:val="FooterChar"/>
    <w:uiPriority w:val="99"/>
    <w:unhideWhenUsed/>
    <w:rsid w:val="003F48AA"/>
    <w:pPr>
      <w:tabs>
        <w:tab w:val="center" w:pos="4680"/>
        <w:tab w:val="right" w:pos="9360"/>
      </w:tabs>
    </w:pPr>
  </w:style>
  <w:style w:type="character" w:customStyle="1" w:styleId="FooterChar">
    <w:name w:val="Footer Char"/>
    <w:basedOn w:val="DefaultParagraphFont"/>
    <w:link w:val="Footer"/>
    <w:uiPriority w:val="99"/>
    <w:rsid w:val="003F4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AC"/>
    <w:rPr>
      <w:color w:val="0000FF" w:themeColor="hyperlink"/>
      <w:u w:val="single"/>
    </w:rPr>
  </w:style>
  <w:style w:type="paragraph" w:styleId="FootnoteText">
    <w:name w:val="footnote text"/>
    <w:basedOn w:val="Normal"/>
    <w:link w:val="FootnoteTextChar"/>
    <w:uiPriority w:val="99"/>
    <w:semiHidden/>
    <w:unhideWhenUsed/>
    <w:rsid w:val="007E44C1"/>
    <w:rPr>
      <w:sz w:val="20"/>
      <w:szCs w:val="20"/>
    </w:rPr>
  </w:style>
  <w:style w:type="character" w:customStyle="1" w:styleId="FootnoteTextChar">
    <w:name w:val="Footnote Text Char"/>
    <w:basedOn w:val="DefaultParagraphFont"/>
    <w:link w:val="FootnoteText"/>
    <w:uiPriority w:val="99"/>
    <w:semiHidden/>
    <w:rsid w:val="007E44C1"/>
    <w:rPr>
      <w:sz w:val="20"/>
      <w:szCs w:val="20"/>
    </w:rPr>
  </w:style>
  <w:style w:type="character" w:styleId="FootnoteReference">
    <w:name w:val="footnote reference"/>
    <w:basedOn w:val="DefaultParagraphFont"/>
    <w:uiPriority w:val="99"/>
    <w:semiHidden/>
    <w:unhideWhenUsed/>
    <w:rsid w:val="007E44C1"/>
    <w:rPr>
      <w:vertAlign w:val="superscript"/>
    </w:rPr>
  </w:style>
  <w:style w:type="paragraph" w:styleId="BalloonText">
    <w:name w:val="Balloon Text"/>
    <w:basedOn w:val="Normal"/>
    <w:link w:val="BalloonTextChar"/>
    <w:uiPriority w:val="99"/>
    <w:semiHidden/>
    <w:unhideWhenUsed/>
    <w:rsid w:val="001B0DB9"/>
    <w:rPr>
      <w:rFonts w:ascii="Tahoma" w:hAnsi="Tahoma" w:cs="Tahoma"/>
      <w:sz w:val="16"/>
      <w:szCs w:val="16"/>
    </w:rPr>
  </w:style>
  <w:style w:type="character" w:customStyle="1" w:styleId="BalloonTextChar">
    <w:name w:val="Balloon Text Char"/>
    <w:basedOn w:val="DefaultParagraphFont"/>
    <w:link w:val="BalloonText"/>
    <w:uiPriority w:val="99"/>
    <w:semiHidden/>
    <w:rsid w:val="001B0DB9"/>
    <w:rPr>
      <w:rFonts w:ascii="Tahoma" w:hAnsi="Tahoma" w:cs="Tahoma"/>
      <w:sz w:val="16"/>
      <w:szCs w:val="16"/>
    </w:rPr>
  </w:style>
  <w:style w:type="paragraph" w:styleId="ListParagraph">
    <w:name w:val="List Paragraph"/>
    <w:basedOn w:val="Normal"/>
    <w:uiPriority w:val="34"/>
    <w:qFormat/>
    <w:rsid w:val="00A900DA"/>
    <w:pPr>
      <w:ind w:left="720"/>
    </w:pPr>
    <w:rPr>
      <w:rFonts w:ascii="Times New Roman" w:hAnsi="Times New Roman" w:cs="Times New Roman"/>
      <w:sz w:val="24"/>
      <w:szCs w:val="24"/>
    </w:rPr>
  </w:style>
  <w:style w:type="paragraph" w:styleId="Header">
    <w:name w:val="header"/>
    <w:basedOn w:val="Normal"/>
    <w:link w:val="HeaderChar"/>
    <w:uiPriority w:val="99"/>
    <w:unhideWhenUsed/>
    <w:rsid w:val="003F48AA"/>
    <w:pPr>
      <w:tabs>
        <w:tab w:val="center" w:pos="4680"/>
        <w:tab w:val="right" w:pos="9360"/>
      </w:tabs>
    </w:pPr>
  </w:style>
  <w:style w:type="character" w:customStyle="1" w:styleId="HeaderChar">
    <w:name w:val="Header Char"/>
    <w:basedOn w:val="DefaultParagraphFont"/>
    <w:link w:val="Header"/>
    <w:uiPriority w:val="99"/>
    <w:rsid w:val="003F48AA"/>
  </w:style>
  <w:style w:type="paragraph" w:styleId="Footer">
    <w:name w:val="footer"/>
    <w:basedOn w:val="Normal"/>
    <w:link w:val="FooterChar"/>
    <w:uiPriority w:val="99"/>
    <w:unhideWhenUsed/>
    <w:rsid w:val="003F48AA"/>
    <w:pPr>
      <w:tabs>
        <w:tab w:val="center" w:pos="4680"/>
        <w:tab w:val="right" w:pos="9360"/>
      </w:tabs>
    </w:pPr>
  </w:style>
  <w:style w:type="character" w:customStyle="1" w:styleId="FooterChar">
    <w:name w:val="Footer Char"/>
    <w:basedOn w:val="DefaultParagraphFont"/>
    <w:link w:val="Footer"/>
    <w:uiPriority w:val="99"/>
    <w:rsid w:val="003F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90105">
      <w:bodyDiv w:val="1"/>
      <w:marLeft w:val="0"/>
      <w:marRight w:val="0"/>
      <w:marTop w:val="0"/>
      <w:marBottom w:val="0"/>
      <w:divBdr>
        <w:top w:val="none" w:sz="0" w:space="0" w:color="auto"/>
        <w:left w:val="none" w:sz="0" w:space="0" w:color="auto"/>
        <w:bottom w:val="none" w:sz="0" w:space="0" w:color="auto"/>
        <w:right w:val="none" w:sz="0" w:space="0" w:color="auto"/>
      </w:divBdr>
    </w:div>
    <w:div w:id="11108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FC87-586B-4D8B-853B-F21CCAA1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Silberstein, Pam</dc:creator>
  <cp:lastModifiedBy>Mary Ann Ralls</cp:lastModifiedBy>
  <cp:revision>5</cp:revision>
  <cp:lastPrinted>2014-10-10T15:46:00Z</cp:lastPrinted>
  <dcterms:created xsi:type="dcterms:W3CDTF">2014-10-10T19:19:00Z</dcterms:created>
  <dcterms:modified xsi:type="dcterms:W3CDTF">2014-10-10T20:30:00Z</dcterms:modified>
</cp:coreProperties>
</file>