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92EC89" w14:textId="77777777" w:rsidR="00CF6031" w:rsidRPr="00385A38" w:rsidRDefault="00CF6031" w:rsidP="00CF6031">
      <w:pPr>
        <w:jc w:val="cente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STATEMENT FOR THE RECORD</w:t>
      </w:r>
    </w:p>
    <w:p w14:paraId="1492EC8A" w14:textId="77777777" w:rsidR="00CF6031" w:rsidRPr="00385A38" w:rsidRDefault="00CF6031" w:rsidP="00CF60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Lee A. Hanse</w:t>
      </w:r>
      <w:r w:rsidRPr="00385A38">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Executive Vice President</w:t>
      </w:r>
    </w:p>
    <w:p w14:paraId="1492EC8C" w14:textId="1199A720" w:rsidR="00CF6031" w:rsidRPr="001C2E46" w:rsidRDefault="00CF6031" w:rsidP="001C2E46">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Energy Transfer</w:t>
      </w:r>
    </w:p>
    <w:p w14:paraId="1492EC8D" w14:textId="77777777" w:rsidR="00CF6031" w:rsidRPr="00505100" w:rsidRDefault="00CF6031" w:rsidP="00CF6031">
      <w:pPr>
        <w:pStyle w:val="Default"/>
        <w:jc w:val="center"/>
        <w:rPr>
          <w:i/>
        </w:rPr>
      </w:pPr>
      <w:r w:rsidRPr="00505100">
        <w:rPr>
          <w:bCs/>
        </w:rPr>
        <w:t>Quadrennial Energy Review Public Meeting</w:t>
      </w:r>
    </w:p>
    <w:p w14:paraId="1492EC8E" w14:textId="77777777" w:rsidR="00CF6031" w:rsidRPr="00505100" w:rsidRDefault="003C7CCA" w:rsidP="00CF6031">
      <w:pPr>
        <w:pStyle w:val="Default"/>
        <w:jc w:val="center"/>
        <w:rPr>
          <w:i/>
        </w:rPr>
      </w:pPr>
      <w:r>
        <w:rPr>
          <w:i/>
          <w:lang w:val="en"/>
        </w:rPr>
        <w:t>Infrastructure Constraints</w:t>
      </w:r>
    </w:p>
    <w:p w14:paraId="1492EC8F" w14:textId="77777777" w:rsidR="00CF6031" w:rsidRPr="00505100" w:rsidRDefault="00CF6031" w:rsidP="00CF6031">
      <w:pPr>
        <w:pStyle w:val="Default"/>
        <w:jc w:val="center"/>
      </w:pPr>
    </w:p>
    <w:p w14:paraId="1492EC90" w14:textId="77777777" w:rsidR="00CF6031" w:rsidRPr="00505100" w:rsidRDefault="00CF6031" w:rsidP="00CF6031">
      <w:pPr>
        <w:jc w:val="center"/>
        <w:rPr>
          <w:rFonts w:ascii="Times New Roman" w:hAnsi="Times New Roman" w:cs="Times New Roman"/>
          <w:sz w:val="24"/>
          <w:szCs w:val="24"/>
        </w:rPr>
      </w:pPr>
      <w:r>
        <w:rPr>
          <w:rFonts w:ascii="Times New Roman" w:hAnsi="Times New Roman" w:cs="Times New Roman"/>
          <w:bCs/>
          <w:sz w:val="24"/>
          <w:szCs w:val="24"/>
        </w:rPr>
        <w:t>Bismarck</w:t>
      </w:r>
      <w:r w:rsidRPr="00505100">
        <w:rPr>
          <w:rFonts w:ascii="Times New Roman" w:hAnsi="Times New Roman" w:cs="Times New Roman"/>
          <w:bCs/>
          <w:sz w:val="24"/>
          <w:szCs w:val="24"/>
        </w:rPr>
        <w:t xml:space="preserve">, </w:t>
      </w:r>
      <w:r>
        <w:rPr>
          <w:rFonts w:ascii="Times New Roman" w:hAnsi="Times New Roman" w:cs="Times New Roman"/>
          <w:bCs/>
          <w:sz w:val="24"/>
          <w:szCs w:val="24"/>
        </w:rPr>
        <w:t>North Dakota</w:t>
      </w:r>
      <w:r w:rsidRPr="00505100">
        <w:rPr>
          <w:rFonts w:ascii="Times New Roman" w:hAnsi="Times New Roman" w:cs="Times New Roman"/>
          <w:bCs/>
          <w:sz w:val="24"/>
          <w:szCs w:val="24"/>
        </w:rPr>
        <w:t xml:space="preserve"> – </w:t>
      </w:r>
      <w:r w:rsidR="003C7CCA">
        <w:rPr>
          <w:rFonts w:ascii="Times New Roman" w:hAnsi="Times New Roman" w:cs="Times New Roman"/>
          <w:bCs/>
          <w:sz w:val="24"/>
          <w:szCs w:val="24"/>
        </w:rPr>
        <w:t>August 8</w:t>
      </w:r>
      <w:r w:rsidRPr="00505100">
        <w:rPr>
          <w:rFonts w:ascii="Times New Roman" w:hAnsi="Times New Roman" w:cs="Times New Roman"/>
          <w:bCs/>
          <w:sz w:val="24"/>
          <w:szCs w:val="24"/>
        </w:rPr>
        <w:t>, 2014</w:t>
      </w:r>
    </w:p>
    <w:p w14:paraId="1492EC91" w14:textId="0849184B" w:rsidR="00AA3022" w:rsidRPr="00A670F3" w:rsidRDefault="005C4A4F" w:rsidP="00A670F3">
      <w:pPr>
        <w:jc w:val="center"/>
        <w:rPr>
          <w:rFonts w:ascii="Times New Roman" w:hAnsi="Times New Roman" w:cs="Times New Roman"/>
          <w:i/>
          <w:sz w:val="24"/>
          <w:szCs w:val="24"/>
        </w:rPr>
      </w:pPr>
      <w:r>
        <w:rPr>
          <w:rStyle w:val="Strong"/>
          <w:rFonts w:ascii="Times New Roman" w:hAnsi="Times New Roman" w:cs="Times New Roman"/>
          <w:i/>
          <w:sz w:val="24"/>
          <w:szCs w:val="24"/>
          <w:lang w:val="en"/>
        </w:rPr>
        <w:t xml:space="preserve">Removing </w:t>
      </w:r>
      <w:r w:rsidR="00590074">
        <w:rPr>
          <w:rStyle w:val="Strong"/>
          <w:rFonts w:ascii="Times New Roman" w:hAnsi="Times New Roman" w:cs="Times New Roman"/>
          <w:i/>
          <w:sz w:val="24"/>
          <w:szCs w:val="24"/>
        </w:rPr>
        <w:t>Infrastructure</w:t>
      </w:r>
      <w:r w:rsidR="00590074">
        <w:rPr>
          <w:rStyle w:val="Strong"/>
          <w:rFonts w:ascii="Times New Roman" w:hAnsi="Times New Roman" w:cs="Times New Roman"/>
          <w:i/>
          <w:sz w:val="24"/>
          <w:szCs w:val="24"/>
          <w:lang w:val="en"/>
        </w:rPr>
        <w:t xml:space="preserve"> </w:t>
      </w:r>
      <w:r w:rsidR="001B3DDB">
        <w:rPr>
          <w:rStyle w:val="Strong"/>
          <w:rFonts w:ascii="Times New Roman" w:hAnsi="Times New Roman" w:cs="Times New Roman"/>
          <w:i/>
          <w:sz w:val="24"/>
          <w:szCs w:val="24"/>
          <w:lang w:val="en"/>
        </w:rPr>
        <w:t xml:space="preserve">Constraints </w:t>
      </w:r>
      <w:r w:rsidR="001B3DDB">
        <w:rPr>
          <w:rStyle w:val="Strong"/>
          <w:rFonts w:ascii="Times New Roman" w:hAnsi="Times New Roman" w:cs="Times New Roman"/>
          <w:i/>
          <w:sz w:val="24"/>
          <w:szCs w:val="24"/>
        </w:rPr>
        <w:t>in</w:t>
      </w:r>
      <w:r w:rsidR="001B3DDB">
        <w:rPr>
          <w:rStyle w:val="Strong"/>
          <w:rFonts w:ascii="Times New Roman" w:hAnsi="Times New Roman" w:cs="Times New Roman"/>
          <w:i/>
          <w:sz w:val="24"/>
          <w:szCs w:val="24"/>
          <w:lang w:val="en"/>
        </w:rPr>
        <w:t xml:space="preserve"> </w:t>
      </w:r>
      <w:r w:rsidR="001B3DDB">
        <w:rPr>
          <w:rStyle w:val="Strong"/>
          <w:rFonts w:ascii="Times New Roman" w:hAnsi="Times New Roman" w:cs="Times New Roman"/>
          <w:i/>
          <w:sz w:val="24"/>
          <w:szCs w:val="24"/>
        </w:rPr>
        <w:t>the</w:t>
      </w:r>
      <w:r w:rsidR="001B3DDB">
        <w:rPr>
          <w:rStyle w:val="Strong"/>
          <w:rFonts w:ascii="Times New Roman" w:hAnsi="Times New Roman" w:cs="Times New Roman"/>
          <w:i/>
          <w:sz w:val="24"/>
          <w:szCs w:val="24"/>
          <w:lang w:val="en"/>
        </w:rPr>
        <w:t xml:space="preserve"> Williston Basin</w:t>
      </w:r>
    </w:p>
    <w:p w14:paraId="1492EC92" w14:textId="70AC3E66" w:rsidR="005C4A4F" w:rsidRDefault="003C7CCA" w:rsidP="00AA3022">
      <w:pPr>
        <w:jc w:val="both"/>
      </w:pPr>
      <w:r>
        <w:t>T</w:t>
      </w:r>
      <w:r w:rsidR="00AA3022">
        <w:t xml:space="preserve">hank you for the opportunity to </w:t>
      </w:r>
      <w:r>
        <w:t>provide these written remarks as part of the Quadrennial Energy Review Public Meeting in Bismarck, North Dakota</w:t>
      </w:r>
      <w:r w:rsidR="00AA3022">
        <w:t xml:space="preserve">.  I am </w:t>
      </w:r>
      <w:r>
        <w:t xml:space="preserve">submitting </w:t>
      </w:r>
      <w:r w:rsidR="009A645B">
        <w:t>my</w:t>
      </w:r>
      <w:r>
        <w:t xml:space="preserve"> remarks</w:t>
      </w:r>
      <w:r w:rsidR="00AA3022">
        <w:t xml:space="preserve"> as a representative of Energy Transfer, one of the largest and most diversified investment grade master limited partnerships in the United States. </w:t>
      </w:r>
      <w:r>
        <w:t xml:space="preserve"> </w:t>
      </w:r>
      <w:r w:rsidR="00AA3022">
        <w:t xml:space="preserve">On a consolidated basis, our family of partnerships owns and operates </w:t>
      </w:r>
      <w:r w:rsidR="00307D16">
        <w:t>approximately 71</w:t>
      </w:r>
      <w:r w:rsidR="00AA3022">
        <w:t xml:space="preserve">,000 miles of </w:t>
      </w:r>
      <w:r w:rsidR="006A110D">
        <w:t xml:space="preserve">crude oil, refined product, </w:t>
      </w:r>
      <w:r w:rsidR="00AA3022">
        <w:t>natural gas,</w:t>
      </w:r>
      <w:r w:rsidR="005C4A4F">
        <w:t xml:space="preserve"> </w:t>
      </w:r>
      <w:r w:rsidR="001B416B">
        <w:t xml:space="preserve">and </w:t>
      </w:r>
      <w:r w:rsidR="005C4A4F">
        <w:t>natural gas liquids pipelines.</w:t>
      </w:r>
    </w:p>
    <w:p w14:paraId="1492EC93" w14:textId="41FA9CC7" w:rsidR="007766DB" w:rsidRDefault="006A110D" w:rsidP="00B9516B">
      <w:pPr>
        <w:jc w:val="both"/>
      </w:pPr>
      <w:r>
        <w:t xml:space="preserve">Figure 1 below highlights the asset base of the </w:t>
      </w:r>
      <w:r w:rsidR="003C7CCA">
        <w:t>Energy Transfer</w:t>
      </w:r>
      <w:r>
        <w:t xml:space="preserve"> family of partnerships</w:t>
      </w:r>
      <w:r w:rsidR="007766DB">
        <w:t>.</w:t>
      </w:r>
      <w:r w:rsidR="001C2E46">
        <w:t xml:space="preserve"> Through these assets, Energy Transfer provides market participants in the oil and gas industry with safe and reliable logistics services that bridge the gaps between supply and demand throughout the United States.</w:t>
      </w:r>
    </w:p>
    <w:p w14:paraId="1492EC94" w14:textId="77777777" w:rsidR="007766DB" w:rsidRPr="001C2E46" w:rsidRDefault="007766DB" w:rsidP="00B9516B">
      <w:pPr>
        <w:jc w:val="both"/>
        <w:rPr>
          <w:b/>
        </w:rPr>
      </w:pPr>
      <w:r w:rsidRPr="001C2E46">
        <w:rPr>
          <w:b/>
          <w:u w:val="single"/>
        </w:rPr>
        <w:t>Figure 1</w:t>
      </w:r>
      <w:r w:rsidRPr="001C2E46">
        <w:rPr>
          <w:b/>
        </w:rPr>
        <w:t>: Energy Transfer Assets</w:t>
      </w:r>
    </w:p>
    <w:p w14:paraId="1492EC95" w14:textId="2E3D70B8" w:rsidR="007766DB" w:rsidRDefault="001B416B" w:rsidP="00B9516B">
      <w:pPr>
        <w:jc w:val="both"/>
      </w:pPr>
      <w:r>
        <w:rPr>
          <w:noProof/>
        </w:rPr>
        <w:drawing>
          <wp:inline distT="0" distB="0" distL="0" distR="0" wp14:anchorId="42AFD8E8" wp14:editId="3B405659">
            <wp:extent cx="5938520" cy="3750310"/>
            <wp:effectExtent l="0" t="0" r="508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8520" cy="3750310"/>
                    </a:xfrm>
                    <a:prstGeom prst="rect">
                      <a:avLst/>
                    </a:prstGeom>
                    <a:noFill/>
                    <a:ln>
                      <a:noFill/>
                    </a:ln>
                  </pic:spPr>
                </pic:pic>
              </a:graphicData>
            </a:graphic>
          </wp:inline>
        </w:drawing>
      </w:r>
    </w:p>
    <w:p w14:paraId="1492EC96" w14:textId="69067BD2" w:rsidR="00E044FB" w:rsidRDefault="006A110D" w:rsidP="00B9516B">
      <w:pPr>
        <w:jc w:val="both"/>
      </w:pPr>
      <w:r>
        <w:lastRenderedPageBreak/>
        <w:t xml:space="preserve">Whether it </w:t>
      </w:r>
      <w:r w:rsidR="00A670F3">
        <w:t>is</w:t>
      </w:r>
      <w:r>
        <w:t xml:space="preserve"> our interstate</w:t>
      </w:r>
      <w:r w:rsidR="00A670F3">
        <w:t xml:space="preserve"> natural gas</w:t>
      </w:r>
      <w:r>
        <w:t xml:space="preserve"> pipeline system </w:t>
      </w:r>
      <w:r w:rsidR="00CA0328">
        <w:t>serving</w:t>
      </w:r>
      <w:r>
        <w:t xml:space="preserve"> </w:t>
      </w:r>
      <w:r w:rsidR="00BC310B">
        <w:t xml:space="preserve">Nevada and </w:t>
      </w:r>
      <w:r>
        <w:t>California</w:t>
      </w:r>
      <w:r w:rsidR="000A091E">
        <w:t xml:space="preserve"> LDCs</w:t>
      </w:r>
      <w:r w:rsidR="00CA0328">
        <w:t>, our crude oil pipelines connecting production to Texas refineries,</w:t>
      </w:r>
      <w:r>
        <w:t xml:space="preserve"> or our liquids pipelines </w:t>
      </w:r>
      <w:r w:rsidR="00CA0328">
        <w:t>transporting</w:t>
      </w:r>
      <w:r>
        <w:t xml:space="preserve"> feedstock to chemicals manufactur</w:t>
      </w:r>
      <w:r w:rsidR="00A670F3">
        <w:t>ers</w:t>
      </w:r>
      <w:r>
        <w:t xml:space="preserve"> </w:t>
      </w:r>
      <w:r w:rsidR="00CA0328">
        <w:t>throughout</w:t>
      </w:r>
      <w:r>
        <w:t xml:space="preserve"> the </w:t>
      </w:r>
      <w:r w:rsidR="00A670F3">
        <w:t xml:space="preserve">U.S. </w:t>
      </w:r>
      <w:r>
        <w:t>Gulf Coast</w:t>
      </w:r>
      <w:r w:rsidR="00A670F3">
        <w:t xml:space="preserve">, </w:t>
      </w:r>
      <w:r w:rsidR="0076258F">
        <w:t xml:space="preserve">we </w:t>
      </w:r>
      <w:r w:rsidR="00590074">
        <w:t>develop and operate</w:t>
      </w:r>
      <w:r w:rsidR="009A645B">
        <w:t xml:space="preserve"> </w:t>
      </w:r>
      <w:r w:rsidR="0076258F">
        <w:t>infrastructure t</w:t>
      </w:r>
      <w:r w:rsidR="009A645B">
        <w:t>o</w:t>
      </w:r>
      <w:r w:rsidR="0076258F">
        <w:t xml:space="preserve"> </w:t>
      </w:r>
      <w:r w:rsidR="000A091E">
        <w:t>move</w:t>
      </w:r>
      <w:r w:rsidR="009A645B">
        <w:t xml:space="preserve"> </w:t>
      </w:r>
      <w:r w:rsidR="00A670F3">
        <w:t>energy products</w:t>
      </w:r>
      <w:r w:rsidR="009A645B">
        <w:t xml:space="preserve"> </w:t>
      </w:r>
      <w:r w:rsidR="00C1160B">
        <w:t xml:space="preserve">to </w:t>
      </w:r>
      <w:r w:rsidR="00746F9D">
        <w:t>where</w:t>
      </w:r>
      <w:r w:rsidR="00D7321F">
        <w:t xml:space="preserve"> </w:t>
      </w:r>
      <w:r w:rsidR="0076258F">
        <w:t>they are needed.</w:t>
      </w:r>
      <w:r w:rsidR="00A670F3">
        <w:t xml:space="preserve"> </w:t>
      </w:r>
    </w:p>
    <w:p w14:paraId="1492EC97" w14:textId="28290F82" w:rsidR="00E044FB" w:rsidRDefault="00E044FB" w:rsidP="00B9516B">
      <w:pPr>
        <w:jc w:val="both"/>
      </w:pPr>
      <w:r>
        <w:t xml:space="preserve">I am responsible for business development activities within Energy Transfer.  We were fortunate to have </w:t>
      </w:r>
      <w:r w:rsidR="00485FD1">
        <w:t xml:space="preserve">had </w:t>
      </w:r>
      <w:r>
        <w:t xml:space="preserve">my colleague, Shelley Corman, participate </w:t>
      </w:r>
      <w:r w:rsidR="001B3DDB">
        <w:t xml:space="preserve">as a panelist </w:t>
      </w:r>
      <w:r>
        <w:t>in the Quadrennial Energy Review in Pittsburg, Pennsylvania,</w:t>
      </w:r>
      <w:r w:rsidRPr="00442F49">
        <w:t xml:space="preserve"> </w:t>
      </w:r>
      <w:r>
        <w:t xml:space="preserve">on July 21, 2014.  Understanding that the Department of Energy’s practice is not to have </w:t>
      </w:r>
      <w:r w:rsidR="001B3DDB">
        <w:t xml:space="preserve">panelists </w:t>
      </w:r>
      <w:r>
        <w:t xml:space="preserve">from the same company at multiple </w:t>
      </w:r>
      <w:r w:rsidR="008F0EFB">
        <w:t xml:space="preserve">public </w:t>
      </w:r>
      <w:r>
        <w:t>meetings, I appreciate this opportunity instead to sh</w:t>
      </w:r>
      <w:r w:rsidR="001B3DDB">
        <w:t xml:space="preserve">are written comments with you.  </w:t>
      </w:r>
      <w:r>
        <w:t>Energy Transfer has committed itself to removing key infrastructure constraints in the Williston Ba</w:t>
      </w:r>
      <w:r w:rsidR="008F0EFB">
        <w:t xml:space="preserve">sin.  In June, </w:t>
      </w:r>
      <w:r w:rsidR="00AA1611">
        <w:t>w</w:t>
      </w:r>
      <w:r>
        <w:t>e announced a multi-billion dollar investment in new pipeline infrastructure to link Bakken/Three Forks crude oil production to Midwest and Gulf Coast refin</w:t>
      </w:r>
      <w:r w:rsidR="008F0EFB">
        <w:t>ery markets.  Therefore, we value this chance</w:t>
      </w:r>
      <w:r>
        <w:t xml:space="preserve"> to contribute to </w:t>
      </w:r>
      <w:r w:rsidR="008F0EFB">
        <w:t xml:space="preserve">the dialogue about promoting </w:t>
      </w:r>
      <w:r>
        <w:t>respo</w:t>
      </w:r>
      <w:r w:rsidR="008F0EFB">
        <w:t xml:space="preserve">nsible and balanced </w:t>
      </w:r>
      <w:r>
        <w:t>infrastructure development for the Williston Basin in particular and throughout the United States in general.</w:t>
      </w:r>
    </w:p>
    <w:p w14:paraId="1492EC98" w14:textId="77777777" w:rsidR="001A2CF5" w:rsidRPr="001A2CF5" w:rsidRDefault="001A2CF5" w:rsidP="007766DB">
      <w:pPr>
        <w:keepNext/>
        <w:jc w:val="both"/>
        <w:rPr>
          <w:b/>
          <w:u w:val="single"/>
        </w:rPr>
      </w:pPr>
      <w:r w:rsidRPr="001A2CF5">
        <w:rPr>
          <w:b/>
          <w:u w:val="single"/>
        </w:rPr>
        <w:t xml:space="preserve">The </w:t>
      </w:r>
      <w:r>
        <w:rPr>
          <w:b/>
          <w:u w:val="single"/>
        </w:rPr>
        <w:t xml:space="preserve">Infrastructure </w:t>
      </w:r>
      <w:r w:rsidRPr="001A2CF5">
        <w:rPr>
          <w:b/>
          <w:u w:val="single"/>
        </w:rPr>
        <w:t>Challenge</w:t>
      </w:r>
    </w:p>
    <w:p w14:paraId="1492EC99" w14:textId="377F3A7B" w:rsidR="00F20E1E" w:rsidRDefault="008F0EFB" w:rsidP="00B9516B">
      <w:pPr>
        <w:jc w:val="both"/>
      </w:pPr>
      <w:r>
        <w:t xml:space="preserve">In the </w:t>
      </w:r>
      <w:r w:rsidR="003221F0">
        <w:t>Presidential Memorandum that established th</w:t>
      </w:r>
      <w:r w:rsidR="00E044FB">
        <w:t>is</w:t>
      </w:r>
      <w:r w:rsidR="003221F0">
        <w:t xml:space="preserve"> Quadrennial Energy Review process</w:t>
      </w:r>
      <w:r>
        <w:t>, the President</w:t>
      </w:r>
      <w:r w:rsidR="003221F0">
        <w:t xml:space="preserve"> </w:t>
      </w:r>
      <w:r w:rsidR="00D73BFA">
        <w:t>highlighted</w:t>
      </w:r>
      <w:r w:rsidR="003221F0">
        <w:t xml:space="preserve"> that o</w:t>
      </w:r>
      <w:r w:rsidR="003221F0" w:rsidRPr="00475624">
        <w:t xml:space="preserve">ur current infrastructure is </w:t>
      </w:r>
      <w:r w:rsidR="003221F0">
        <w:t>“</w:t>
      </w:r>
      <w:r w:rsidR="003221F0" w:rsidRPr="00475624">
        <w:t>increasingly challenged by transformations in energy supply, markets, and patterns of end use</w:t>
      </w:r>
      <w:r w:rsidR="003221F0">
        <w:t xml:space="preserve">. . . .”  </w:t>
      </w:r>
      <w:r w:rsidR="00590074">
        <w:t>It is no surprise, of course, t</w:t>
      </w:r>
      <w:r w:rsidR="00A905ED">
        <w:t xml:space="preserve">hat </w:t>
      </w:r>
      <w:r w:rsidR="00F20E1E">
        <w:t>today’s public meeting on infrastructure constraints</w:t>
      </w:r>
      <w:r w:rsidR="00A905ED">
        <w:t xml:space="preserve"> </w:t>
      </w:r>
      <w:r w:rsidR="00E044FB">
        <w:t xml:space="preserve">should </w:t>
      </w:r>
      <w:r w:rsidR="00AB275D">
        <w:t xml:space="preserve">then </w:t>
      </w:r>
      <w:r w:rsidR="00E044FB">
        <w:t>be</w:t>
      </w:r>
      <w:r w:rsidR="00A905ED">
        <w:t xml:space="preserve"> held in</w:t>
      </w:r>
      <w:r w:rsidR="009A645B">
        <w:t xml:space="preserve"> North Dakota.  </w:t>
      </w:r>
      <w:r w:rsidR="004C6236">
        <w:t>The story of d</w:t>
      </w:r>
      <w:r w:rsidR="00A905ED">
        <w:t>evelopment in the</w:t>
      </w:r>
      <w:r w:rsidR="00CA0328">
        <w:t xml:space="preserve"> Williston Basin</w:t>
      </w:r>
      <w:r w:rsidR="00A905ED">
        <w:t>, a central driver of the</w:t>
      </w:r>
      <w:r w:rsidR="009A645B">
        <w:t xml:space="preserve"> oil and gas renaissance </w:t>
      </w:r>
      <w:r w:rsidR="00A905ED">
        <w:t xml:space="preserve">in the United States, is a marvel when </w:t>
      </w:r>
      <w:r w:rsidR="004C6236">
        <w:t>told</w:t>
      </w:r>
      <w:r w:rsidR="001B3DDB">
        <w:t xml:space="preserve"> through raw numbers.  Already production has topped</w:t>
      </w:r>
      <w:r w:rsidR="00A905ED">
        <w:t xml:space="preserve"> 1 million barrels of crude oil produced per day</w:t>
      </w:r>
      <w:r w:rsidR="001B3DDB">
        <w:t xml:space="preserve"> and over </w:t>
      </w:r>
      <w:r w:rsidR="001B416B">
        <w:t xml:space="preserve">1 billion cubic feet </w:t>
      </w:r>
      <w:r w:rsidR="00971007">
        <w:t>of natural gas per day.</w:t>
      </w:r>
      <w:r w:rsidR="00F20E1E">
        <w:t xml:space="preserve"> </w:t>
      </w:r>
      <w:r w:rsidR="00971007">
        <w:t xml:space="preserve"> </w:t>
      </w:r>
      <w:r w:rsidR="00746F9D">
        <w:t>Yet the story</w:t>
      </w:r>
      <w:r w:rsidR="00A905ED">
        <w:t xml:space="preserve"> is all the more </w:t>
      </w:r>
      <w:r w:rsidR="0066510F">
        <w:t>astounding</w:t>
      </w:r>
      <w:r w:rsidR="00A905ED">
        <w:t xml:space="preserve"> </w:t>
      </w:r>
      <w:r w:rsidR="001A2CF5">
        <w:t xml:space="preserve">when </w:t>
      </w:r>
      <w:r w:rsidR="004C6236">
        <w:t>viewed</w:t>
      </w:r>
      <w:r w:rsidR="001A2CF5">
        <w:t xml:space="preserve"> </w:t>
      </w:r>
      <w:r w:rsidR="00A905ED">
        <w:t xml:space="preserve">in the context of </w:t>
      </w:r>
      <w:r w:rsidR="004C6236">
        <w:t>the</w:t>
      </w:r>
      <w:r w:rsidR="003752A9">
        <w:t xml:space="preserve"> logistical</w:t>
      </w:r>
      <w:r w:rsidR="00A905ED">
        <w:t xml:space="preserve"> </w:t>
      </w:r>
      <w:r w:rsidR="003752A9">
        <w:t>hurdles</w:t>
      </w:r>
      <w:r w:rsidR="004C6236">
        <w:t xml:space="preserve"> that</w:t>
      </w:r>
      <w:r w:rsidR="00A905ED">
        <w:t xml:space="preserve"> </w:t>
      </w:r>
      <w:r w:rsidR="00746F9D">
        <w:t>have</w:t>
      </w:r>
      <w:r w:rsidR="00824B32">
        <w:t xml:space="preserve"> </w:t>
      </w:r>
      <w:r w:rsidR="001A2CF5">
        <w:t>confront</w:t>
      </w:r>
      <w:r w:rsidR="00746F9D">
        <w:t>ed market participants</w:t>
      </w:r>
      <w:r w:rsidR="00F20E1E">
        <w:t xml:space="preserve"> and other stakeholders</w:t>
      </w:r>
      <w:r w:rsidR="00C52CE4">
        <w:t xml:space="preserve"> in North Dakota and Montana</w:t>
      </w:r>
      <w:r w:rsidR="000A091E">
        <w:t>.</w:t>
      </w:r>
      <w:bookmarkStart w:id="0" w:name="_GoBack"/>
      <w:bookmarkEnd w:id="0"/>
      <w:r w:rsidR="003221F0">
        <w:t xml:space="preserve">  Simply put, </w:t>
      </w:r>
      <w:r w:rsidR="007766DB">
        <w:t>our nation’s infrastructure has been</w:t>
      </w:r>
      <w:r w:rsidR="00E044FB">
        <w:t xml:space="preserve"> engaged</w:t>
      </w:r>
      <w:r w:rsidR="007766DB">
        <w:t xml:space="preserve"> in an on-going game of “catch up”</w:t>
      </w:r>
      <w:r w:rsidR="00D73BFA">
        <w:t xml:space="preserve"> </w:t>
      </w:r>
      <w:r w:rsidR="007766DB">
        <w:t>with</w:t>
      </w:r>
      <w:r w:rsidR="003221F0">
        <w:t xml:space="preserve"> the </w:t>
      </w:r>
      <w:r w:rsidR="00ED22B6">
        <w:t>growth</w:t>
      </w:r>
      <w:r w:rsidR="00D73BFA">
        <w:t xml:space="preserve"> potential</w:t>
      </w:r>
      <w:r w:rsidR="003221F0">
        <w:t xml:space="preserve"> </w:t>
      </w:r>
      <w:r w:rsidR="007766DB">
        <w:t>of the Bakken/Three Forks play in the Williston Basin</w:t>
      </w:r>
      <w:r w:rsidR="00E044FB">
        <w:t>, as well as</w:t>
      </w:r>
      <w:r w:rsidR="007766DB">
        <w:t xml:space="preserve"> other unconventional oil and gas plays</w:t>
      </w:r>
      <w:r w:rsidR="00E044FB">
        <w:t xml:space="preserve"> throughout the country</w:t>
      </w:r>
      <w:r w:rsidR="007766DB">
        <w:t xml:space="preserve">.  </w:t>
      </w:r>
    </w:p>
    <w:p w14:paraId="1492EC9A" w14:textId="1EB89BBE" w:rsidR="00AB3EBE" w:rsidRDefault="00746F9D" w:rsidP="00B9516B">
      <w:pPr>
        <w:jc w:val="both"/>
      </w:pPr>
      <w:r>
        <w:t>When growth</w:t>
      </w:r>
      <w:r w:rsidR="00F20E1E">
        <w:t xml:space="preserve"> of such</w:t>
      </w:r>
      <w:r>
        <w:t xml:space="preserve"> scale and scope occur</w:t>
      </w:r>
      <w:r w:rsidR="008326C6">
        <w:t>s quickly</w:t>
      </w:r>
      <w:r>
        <w:t xml:space="preserve"> and unexpectedly, impediments</w:t>
      </w:r>
      <w:r w:rsidR="00824B32">
        <w:t xml:space="preserve"> </w:t>
      </w:r>
      <w:r>
        <w:t>arise</w:t>
      </w:r>
      <w:r w:rsidR="0080411C">
        <w:t xml:space="preserve"> in almost every as</w:t>
      </w:r>
      <w:r w:rsidR="00910780">
        <w:t xml:space="preserve">pect of the development process.  </w:t>
      </w:r>
      <w:r w:rsidR="008326C6">
        <w:t>Indeed, c</w:t>
      </w:r>
      <w:r w:rsidR="00910780">
        <w:t xml:space="preserve">hallenges </w:t>
      </w:r>
      <w:r w:rsidR="00694B88">
        <w:t xml:space="preserve">in the Williston Basin </w:t>
      </w:r>
      <w:r w:rsidR="00C96D76">
        <w:t xml:space="preserve">have </w:t>
      </w:r>
      <w:r w:rsidR="00910780">
        <w:t>run</w:t>
      </w:r>
      <w:r w:rsidR="0080411C">
        <w:t xml:space="preserve"> </w:t>
      </w:r>
      <w:r w:rsidR="004C6236">
        <w:t xml:space="preserve">the gamut from </w:t>
      </w:r>
      <w:r w:rsidR="00910780">
        <w:t xml:space="preserve">ensuring </w:t>
      </w:r>
      <w:r w:rsidR="001B2219">
        <w:t xml:space="preserve">adequate </w:t>
      </w:r>
      <w:r w:rsidR="00C96D76">
        <w:t>lodging</w:t>
      </w:r>
      <w:r w:rsidR="004C6236">
        <w:t xml:space="preserve"> </w:t>
      </w:r>
      <w:r w:rsidR="0069295C">
        <w:t>for personnel</w:t>
      </w:r>
      <w:r w:rsidR="001B3DDB">
        <w:t>, to workforce training,</w:t>
      </w:r>
      <w:r w:rsidR="00C96D76">
        <w:t xml:space="preserve"> </w:t>
      </w:r>
      <w:r w:rsidR="004C6236">
        <w:t xml:space="preserve">to </w:t>
      </w:r>
      <w:r w:rsidR="00C96D76">
        <w:t>obtaining</w:t>
      </w:r>
      <w:r w:rsidR="00910780">
        <w:t xml:space="preserve"> </w:t>
      </w:r>
      <w:r w:rsidR="00C96D76">
        <w:t>the rights of way for gathering pipelines</w:t>
      </w:r>
      <w:r w:rsidR="0066510F">
        <w:t>.</w:t>
      </w:r>
      <w:r w:rsidR="009D01CC">
        <w:t xml:space="preserve">  </w:t>
      </w:r>
      <w:r w:rsidR="00590074">
        <w:t>S</w:t>
      </w:r>
      <w:r w:rsidR="00945168">
        <w:t xml:space="preserve">olutions do not come easily because they require coordination of equivalent scale and scope.  </w:t>
      </w:r>
      <w:r w:rsidR="0096151D">
        <w:t xml:space="preserve">Industry participants must work </w:t>
      </w:r>
      <w:r w:rsidR="00694B88">
        <w:t xml:space="preserve">together </w:t>
      </w:r>
      <w:r w:rsidR="0096151D">
        <w:t xml:space="preserve">with local residents, governmental officials, public interest groups, and other stakeholders to earn </w:t>
      </w:r>
      <w:r w:rsidR="00F5680B">
        <w:t xml:space="preserve">and maintain </w:t>
      </w:r>
      <w:r w:rsidR="0096151D">
        <w:t xml:space="preserve">the social license to operate.  </w:t>
      </w:r>
      <w:r w:rsidR="005D71ED">
        <w:t>O</w:t>
      </w:r>
      <w:r w:rsidR="00694B88">
        <w:t xml:space="preserve">il and gas activities are capital intensive, </w:t>
      </w:r>
      <w:r w:rsidR="005D71ED">
        <w:t xml:space="preserve">so </w:t>
      </w:r>
      <w:r w:rsidR="007766DB">
        <w:t>massive amounts of investment</w:t>
      </w:r>
      <w:r w:rsidR="0096151D">
        <w:t xml:space="preserve"> must be aggregated throu</w:t>
      </w:r>
      <w:r w:rsidR="00F5680B">
        <w:t xml:space="preserve">gh the </w:t>
      </w:r>
      <w:r w:rsidR="007766DB">
        <w:t>capital</w:t>
      </w:r>
      <w:r w:rsidR="00F5680B">
        <w:t xml:space="preserve"> markets</w:t>
      </w:r>
      <w:r w:rsidR="005D71ED">
        <w:t xml:space="preserve"> to fund the infrastructure build-out</w:t>
      </w:r>
      <w:r w:rsidR="0096151D">
        <w:t>.</w:t>
      </w:r>
      <w:r w:rsidR="00694B88">
        <w:t xml:space="preserve">  Facilities mu</w:t>
      </w:r>
      <w:r w:rsidR="00F5680B">
        <w:t xml:space="preserve">st be designed, fabricated, and installed. </w:t>
      </w:r>
      <w:r w:rsidR="00694B88">
        <w:t xml:space="preserve"> </w:t>
      </w:r>
      <w:r w:rsidR="00F5680B">
        <w:t xml:space="preserve">Market participants must ensure that </w:t>
      </w:r>
      <w:r w:rsidR="00694B88">
        <w:t xml:space="preserve">they can recruit, train, and maintain </w:t>
      </w:r>
      <w:r w:rsidR="00F5680B">
        <w:t>the “boots on the ground” to coordinate the massive logi</w:t>
      </w:r>
      <w:r w:rsidR="00AB3EBE">
        <w:t xml:space="preserve">stical effort in the field.  </w:t>
      </w:r>
      <w:r w:rsidR="00694B88">
        <w:t>Among all these activities, a</w:t>
      </w:r>
      <w:r w:rsidR="006B380D">
        <w:t xml:space="preserve"> multitude of decisions </w:t>
      </w:r>
      <w:r w:rsidR="00694B88">
        <w:t xml:space="preserve">about infrastructure investment </w:t>
      </w:r>
      <w:r w:rsidR="006B380D">
        <w:t xml:space="preserve">must be made in the face of </w:t>
      </w:r>
      <w:r w:rsidR="00694B88">
        <w:t xml:space="preserve">market, operational, and regulatory </w:t>
      </w:r>
      <w:r w:rsidR="006B380D">
        <w:t>uncertainties.  A</w:t>
      </w:r>
      <w:r w:rsidR="00694B88">
        <w:t>nd a</w:t>
      </w:r>
      <w:r w:rsidR="006B380D">
        <w:t>ll of this takes time.</w:t>
      </w:r>
    </w:p>
    <w:p w14:paraId="1492EC9B" w14:textId="59988176" w:rsidR="00746F9D" w:rsidRDefault="009D01CC" w:rsidP="00B9516B">
      <w:pPr>
        <w:jc w:val="both"/>
      </w:pPr>
      <w:r>
        <w:lastRenderedPageBreak/>
        <w:t>The result is that suboptimal ch</w:t>
      </w:r>
      <w:r w:rsidR="00945168">
        <w:t xml:space="preserve">oices </w:t>
      </w:r>
      <w:r w:rsidR="00DE3C27">
        <w:t>may</w:t>
      </w:r>
      <w:r w:rsidR="00945168">
        <w:t xml:space="preserve"> </w:t>
      </w:r>
      <w:r w:rsidR="00DE3C27">
        <w:t xml:space="preserve">be </w:t>
      </w:r>
      <w:r w:rsidR="00945168">
        <w:t>made</w:t>
      </w:r>
      <w:r w:rsidR="00590074">
        <w:t>, especially in the near term</w:t>
      </w:r>
      <w:r w:rsidR="00DE3C27">
        <w:t xml:space="preserve">, and </w:t>
      </w:r>
      <w:r w:rsidR="00590074">
        <w:t xml:space="preserve">the pace of </w:t>
      </w:r>
      <w:r w:rsidR="00DE3C27">
        <w:t xml:space="preserve">economic growth is thereby </w:t>
      </w:r>
      <w:r w:rsidR="00E044FB">
        <w:t>put at risk</w:t>
      </w:r>
      <w:r w:rsidR="006B380D">
        <w:t>.</w:t>
      </w:r>
      <w:r w:rsidR="00FC3A30">
        <w:t xml:space="preserve">  Natural gas flaring and </w:t>
      </w:r>
      <w:r w:rsidR="00590074">
        <w:t>the measures taken to address that flaring</w:t>
      </w:r>
      <w:r w:rsidR="00FC3A30">
        <w:t xml:space="preserve"> ser</w:t>
      </w:r>
      <w:r w:rsidR="00590074">
        <w:t>ve as a prime example of how inadequate i</w:t>
      </w:r>
      <w:r w:rsidR="00485FD1">
        <w:t>nfrastructure can deter otherwise desired development.  B</w:t>
      </w:r>
      <w:r w:rsidR="00590074">
        <w:t>eyond</w:t>
      </w:r>
      <w:r w:rsidR="00FC3A30">
        <w:t xml:space="preserve"> the oil and gas industry</w:t>
      </w:r>
      <w:r w:rsidR="00590074">
        <w:t xml:space="preserve"> itself</w:t>
      </w:r>
      <w:r w:rsidR="00FC3A30">
        <w:t>,</w:t>
      </w:r>
      <w:r w:rsidR="00C33849">
        <w:t xml:space="preserve"> </w:t>
      </w:r>
      <w:r w:rsidR="00AB3EBE">
        <w:t>congestion</w:t>
      </w:r>
      <w:r w:rsidR="00C33849">
        <w:t xml:space="preserve"> in</w:t>
      </w:r>
      <w:r w:rsidR="00D95865">
        <w:t xml:space="preserve"> </w:t>
      </w:r>
      <w:r w:rsidR="00C33849">
        <w:t xml:space="preserve">the </w:t>
      </w:r>
      <w:r w:rsidR="00D95865">
        <w:t xml:space="preserve">railroad network </w:t>
      </w:r>
      <w:r w:rsidR="00590074">
        <w:t>can</w:t>
      </w:r>
      <w:r w:rsidR="00FC3A30">
        <w:t xml:space="preserve"> negatively</w:t>
      </w:r>
      <w:r w:rsidR="00E73DD9">
        <w:t xml:space="preserve"> </w:t>
      </w:r>
      <w:r w:rsidR="00C33849">
        <w:t>impact</w:t>
      </w:r>
      <w:r w:rsidR="00E73DD9">
        <w:t xml:space="preserve"> the</w:t>
      </w:r>
      <w:r w:rsidR="00D95865">
        <w:t xml:space="preserve"> region’s agriculture industry and passenger rail</w:t>
      </w:r>
      <w:r w:rsidR="00590074">
        <w:t xml:space="preserve"> when greater crude oil volumes shift to</w:t>
      </w:r>
      <w:r w:rsidR="001B3DDB">
        <w:t xml:space="preserve"> rail because pipeline capacity</w:t>
      </w:r>
      <w:r w:rsidR="00590074">
        <w:t xml:space="preserve"> is inadequate</w:t>
      </w:r>
      <w:r w:rsidR="00AB3EBE">
        <w:t>.</w:t>
      </w:r>
      <w:r w:rsidR="005D71ED">
        <w:t xml:space="preserve">  </w:t>
      </w:r>
      <w:r w:rsidR="00F5680B">
        <w:t>What is happening in the</w:t>
      </w:r>
      <w:r w:rsidR="00FC3A30">
        <w:t xml:space="preserve"> oil and gas industry in the</w:t>
      </w:r>
      <w:r w:rsidR="00F5680B">
        <w:t xml:space="preserve"> Williston Basin is </w:t>
      </w:r>
      <w:r w:rsidR="00D95865">
        <w:t xml:space="preserve">certainly </w:t>
      </w:r>
      <w:r w:rsidR="00F5680B">
        <w:t>a testament to the ability of U.S. citizens to achieve monumental results through hard work and free enterprise</w:t>
      </w:r>
      <w:r w:rsidR="00E044FB">
        <w:t xml:space="preserve"> despite logistical challenges</w:t>
      </w:r>
      <w:r w:rsidR="00F5680B">
        <w:t xml:space="preserve">.  </w:t>
      </w:r>
      <w:r w:rsidR="003F65F8">
        <w:t>Nevertheless, t</w:t>
      </w:r>
      <w:r w:rsidR="00F5680B">
        <w:t xml:space="preserve">he </w:t>
      </w:r>
      <w:r w:rsidR="003F65F8">
        <w:t xml:space="preserve">success also showcases </w:t>
      </w:r>
      <w:r w:rsidR="00E044FB">
        <w:t>the greater</w:t>
      </w:r>
      <w:r w:rsidR="003F65F8">
        <w:t xml:space="preserve"> promise </w:t>
      </w:r>
      <w:r w:rsidR="00694B88">
        <w:t xml:space="preserve">waiting </w:t>
      </w:r>
      <w:r w:rsidR="003F65F8">
        <w:t>to be secured</w:t>
      </w:r>
      <w:r w:rsidR="007766DB">
        <w:t>, if</w:t>
      </w:r>
      <w:r w:rsidR="00F5680B">
        <w:t xml:space="preserve"> </w:t>
      </w:r>
      <w:r w:rsidR="007766DB">
        <w:t xml:space="preserve">we can enhance the </w:t>
      </w:r>
      <w:r w:rsidR="00F5680B">
        <w:t xml:space="preserve">policies aimed at </w:t>
      </w:r>
      <w:r w:rsidR="00485FD1">
        <w:t>supporting</w:t>
      </w:r>
      <w:r w:rsidR="00F5680B">
        <w:t xml:space="preserve"> </w:t>
      </w:r>
      <w:r w:rsidR="00D95865">
        <w:t xml:space="preserve">the </w:t>
      </w:r>
      <w:r w:rsidR="00F5680B">
        <w:t>infrastructure</w:t>
      </w:r>
      <w:r w:rsidR="00D73BFA">
        <w:t xml:space="preserve"> </w:t>
      </w:r>
      <w:r w:rsidR="00E044FB">
        <w:t xml:space="preserve">development </w:t>
      </w:r>
      <w:r w:rsidR="00D15CEB">
        <w:t xml:space="preserve">that is required </w:t>
      </w:r>
      <w:r w:rsidR="00D73BFA">
        <w:t xml:space="preserve">to harness </w:t>
      </w:r>
      <w:r w:rsidR="00D15CEB">
        <w:t>our</w:t>
      </w:r>
      <w:r w:rsidR="00D73BFA">
        <w:t xml:space="preserve"> domestic energy resource</w:t>
      </w:r>
      <w:r w:rsidR="00D15CEB">
        <w:t>s</w:t>
      </w:r>
      <w:r w:rsidR="00F5680B">
        <w:t>.</w:t>
      </w:r>
      <w:r w:rsidR="003F65F8">
        <w:t xml:space="preserve">  </w:t>
      </w:r>
    </w:p>
    <w:p w14:paraId="1492EC9C" w14:textId="77777777" w:rsidR="003F65F8" w:rsidRDefault="003F65F8" w:rsidP="00B9516B">
      <w:pPr>
        <w:jc w:val="both"/>
        <w:rPr>
          <w:b/>
          <w:u w:val="single"/>
        </w:rPr>
      </w:pPr>
      <w:r>
        <w:rPr>
          <w:b/>
          <w:u w:val="single"/>
        </w:rPr>
        <w:t xml:space="preserve">Meeting the </w:t>
      </w:r>
      <w:r w:rsidR="00D73BFA">
        <w:rPr>
          <w:b/>
          <w:u w:val="single"/>
        </w:rPr>
        <w:t xml:space="preserve">Pipeline Infrastructure </w:t>
      </w:r>
      <w:r>
        <w:rPr>
          <w:b/>
          <w:u w:val="single"/>
        </w:rPr>
        <w:t>Challenge</w:t>
      </w:r>
    </w:p>
    <w:p w14:paraId="1492EC9D" w14:textId="5E1A6445" w:rsidR="0035284E" w:rsidRDefault="00D73BFA" w:rsidP="00B9516B">
      <w:pPr>
        <w:jc w:val="both"/>
      </w:pPr>
      <w:r>
        <w:t xml:space="preserve">Energy Transfer is among the market participants that have committed themselves to </w:t>
      </w:r>
      <w:r w:rsidR="00485FD1">
        <w:t>solving</w:t>
      </w:r>
      <w:r>
        <w:t xml:space="preserve"> the infrastructure challenge in the Williston Basin.  Energy Transfer recently announced that two of its subsidiaries, </w:t>
      </w:r>
      <w:r w:rsidR="00E044FB">
        <w:t xml:space="preserve">Dakota Access, LLC </w:t>
      </w:r>
      <w:r w:rsidRPr="00D73BFA">
        <w:t xml:space="preserve">(“DAPL”) and Energy Transfer Crude Oil </w:t>
      </w:r>
      <w:r w:rsidR="00E044FB">
        <w:t>Company, LLC</w:t>
      </w:r>
      <w:r w:rsidRPr="00D73BFA">
        <w:t xml:space="preserve"> (“ETCO”)</w:t>
      </w:r>
      <w:r>
        <w:t xml:space="preserve">, </w:t>
      </w:r>
      <w:r w:rsidR="00C33849">
        <w:t>have committed to make</w:t>
      </w:r>
      <w:r>
        <w:t xml:space="preserve"> the multi-billion dollar investments necessary to </w:t>
      </w:r>
      <w:r w:rsidRPr="00D73BFA">
        <w:t>safe</w:t>
      </w:r>
      <w:r w:rsidR="0035284E">
        <w:t>ly, reliably</w:t>
      </w:r>
      <w:r w:rsidRPr="00D73BFA">
        <w:t>, and cost-effective</w:t>
      </w:r>
      <w:r w:rsidR="0035284E">
        <w:t>ly</w:t>
      </w:r>
      <w:r w:rsidRPr="00D73BFA">
        <w:t xml:space="preserve"> link U.S.-produced Bakken/Three Forks light sweet oil </w:t>
      </w:r>
      <w:r w:rsidR="00544E99">
        <w:t xml:space="preserve">directly by pipeline </w:t>
      </w:r>
      <w:r w:rsidR="0035284E">
        <w:t>to</w:t>
      </w:r>
      <w:r>
        <w:t xml:space="preserve"> U.S. refineries in the Midwest and the</w:t>
      </w:r>
      <w:r w:rsidRPr="00D73BFA">
        <w:t xml:space="preserve"> Gulf Coast</w:t>
      </w:r>
      <w:r w:rsidR="0035284E">
        <w:t>.</w:t>
      </w:r>
      <w:r w:rsidR="00544E99">
        <w:t xml:space="preserve">  DAPL’s system will consist of approximately 1,100 miles of </w:t>
      </w:r>
      <w:r w:rsidR="00485FD1">
        <w:t xml:space="preserve">mainly </w:t>
      </w:r>
      <w:r w:rsidR="00544E99">
        <w:t xml:space="preserve">30-inch diameter </w:t>
      </w:r>
      <w:r w:rsidR="00AB3EBE">
        <w:t xml:space="preserve">pipeline </w:t>
      </w:r>
      <w:r w:rsidR="00590074">
        <w:t xml:space="preserve">to transport Bakkan/Three Forks production </w:t>
      </w:r>
      <w:r w:rsidR="00544E99">
        <w:t>from k</w:t>
      </w:r>
      <w:r w:rsidR="0045504B">
        <w:t>ey points of receipt in North Dakota to Midwest refineries</w:t>
      </w:r>
      <w:r w:rsidR="00544E99">
        <w:t>.  ETCO’s system will be approximately 750 miles of predominately 30-inch diameter pipeline, interconnect</w:t>
      </w:r>
      <w:r w:rsidR="00C33849">
        <w:t>ing</w:t>
      </w:r>
      <w:r w:rsidR="0045504B">
        <w:t xml:space="preserve"> with DAPL in Illinois </w:t>
      </w:r>
      <w:r w:rsidR="00544E99">
        <w:t xml:space="preserve">to transport light sweet oil to the U.S. Gulf Coast.  ETCO’s system will </w:t>
      </w:r>
      <w:r w:rsidR="00B32A04">
        <w:t>include</w:t>
      </w:r>
      <w:r w:rsidR="00544E99">
        <w:t xml:space="preserve"> approximately 700 miles</w:t>
      </w:r>
      <w:r w:rsidR="00B32A04">
        <w:t xml:space="preserve"> </w:t>
      </w:r>
      <w:r w:rsidR="00544E99">
        <w:t>of existing underutilized pipeline</w:t>
      </w:r>
      <w:r w:rsidR="00B32A04">
        <w:t xml:space="preserve"> (</w:t>
      </w:r>
      <w:r w:rsidR="00B32A04" w:rsidRPr="00B32A04">
        <w:rPr>
          <w:i/>
        </w:rPr>
        <w:t>i.e.</w:t>
      </w:r>
      <w:r w:rsidR="00B32A04">
        <w:t xml:space="preserve">, nearly 95% of the system route) </w:t>
      </w:r>
      <w:r w:rsidR="00544E99">
        <w:t xml:space="preserve"> that is being converted from natural gas service to crude oil service, helping to mitigate environmental and landowner impacts</w:t>
      </w:r>
      <w:r w:rsidR="00C33849">
        <w:t xml:space="preserve"> of the ETCO</w:t>
      </w:r>
      <w:r w:rsidR="00544E99">
        <w:t xml:space="preserve"> project.   </w:t>
      </w:r>
    </w:p>
    <w:p w14:paraId="1492EC9E" w14:textId="50536356" w:rsidR="00C33849" w:rsidRDefault="00D15CEB" w:rsidP="00B9516B">
      <w:pPr>
        <w:jc w:val="both"/>
      </w:pPr>
      <w:r>
        <w:t>T</w:t>
      </w:r>
      <w:r w:rsidR="00D73BFA" w:rsidRPr="00D73BFA">
        <w:t xml:space="preserve">oday, both projects </w:t>
      </w:r>
      <w:r>
        <w:t>are</w:t>
      </w:r>
      <w:r w:rsidR="00D73BFA" w:rsidRPr="00D73BFA">
        <w:t xml:space="preserve"> immediate growth engines for American jobs throughout the U.S.  They will create construction jobs across multiple states and drive growth for U.S. steel mills, manufacturers, and multiple service industries across the country.</w:t>
      </w:r>
      <w:r w:rsidR="00485FD1">
        <w:t xml:space="preserve">  Once in service, </w:t>
      </w:r>
      <w:r w:rsidR="00B945D6">
        <w:t>DAPL’s in-</w:t>
      </w:r>
      <w:r w:rsidR="00AB275D">
        <w:t xml:space="preserve">field facilities will </w:t>
      </w:r>
      <w:r w:rsidR="001B3DDB">
        <w:t xml:space="preserve">also </w:t>
      </w:r>
      <w:r w:rsidR="00AB275D">
        <w:t xml:space="preserve">help to reduce </w:t>
      </w:r>
      <w:r w:rsidR="001B416B">
        <w:t xml:space="preserve">crude oil </w:t>
      </w:r>
      <w:r w:rsidR="00AB275D">
        <w:t>truck</w:t>
      </w:r>
      <w:r w:rsidR="001B416B">
        <w:t>ing</w:t>
      </w:r>
      <w:r w:rsidR="00AB275D">
        <w:t xml:space="preserve"> and promote </w:t>
      </w:r>
      <w:r w:rsidR="00B945D6">
        <w:t>safer operations in the basin</w:t>
      </w:r>
      <w:r w:rsidR="00485FD1">
        <w:t>.</w:t>
      </w:r>
      <w:r w:rsidR="00AB275D">
        <w:t xml:space="preserve">  </w:t>
      </w:r>
      <w:r w:rsidR="00100D4A">
        <w:t>E</w:t>
      </w:r>
      <w:r w:rsidR="00D73BFA" w:rsidRPr="00D73BFA">
        <w:t>nhanced pipeline access for Bakken/Three For</w:t>
      </w:r>
      <w:r w:rsidR="00AB275D">
        <w:t xml:space="preserve">ks production </w:t>
      </w:r>
      <w:r w:rsidR="00D73BFA" w:rsidRPr="00D73BFA">
        <w:t>to reach key domestic refin</w:t>
      </w:r>
      <w:r w:rsidR="00AB275D">
        <w:t>ing markets will support a healthier</w:t>
      </w:r>
      <w:r w:rsidR="00D73BFA" w:rsidRPr="00D73BFA">
        <w:t xml:space="preserve"> U.S. economy.  It will positively impact everything from chemicals manufacturing</w:t>
      </w:r>
      <w:r w:rsidR="004055EB">
        <w:t xml:space="preserve"> costs</w:t>
      </w:r>
      <w:r w:rsidR="00D73BFA" w:rsidRPr="00D73BFA">
        <w:t xml:space="preserve"> to the price of gasoline and diesel at the pump. It will also contribute to improved international security for all Americans by further reducing our economic dependence on foreign crude oil from count</w:t>
      </w:r>
      <w:r w:rsidR="001B416B">
        <w:t>r</w:t>
      </w:r>
      <w:r w:rsidR="00D73BFA" w:rsidRPr="00D73BFA">
        <w:t>ies that are often either unstable or hostile to U.S. interests</w:t>
      </w:r>
      <w:r w:rsidR="0035284E">
        <w:t>.</w:t>
      </w:r>
    </w:p>
    <w:p w14:paraId="1492EC9F" w14:textId="36AFFD50" w:rsidR="00AB3EBE" w:rsidRPr="00AB3EBE" w:rsidRDefault="00B945D6" w:rsidP="00B9516B">
      <w:pPr>
        <w:jc w:val="both"/>
        <w:rPr>
          <w:b/>
          <w:u w:val="single"/>
        </w:rPr>
      </w:pPr>
      <w:r>
        <w:rPr>
          <w:b/>
          <w:u w:val="single"/>
        </w:rPr>
        <w:t>Making Progress from Here</w:t>
      </w:r>
    </w:p>
    <w:p w14:paraId="1492ECA0" w14:textId="3618367C" w:rsidR="00C33849" w:rsidRDefault="0053203A" w:rsidP="00B9516B">
      <w:pPr>
        <w:jc w:val="both"/>
      </w:pPr>
      <w:r>
        <w:t xml:space="preserve">Because the President established this Quadrennial Energy Review process with the goal of reviewing and improving federal energy policy, I would like to conclude with a few observations </w:t>
      </w:r>
      <w:r w:rsidR="00EA1CA6">
        <w:t xml:space="preserve">in that regard </w:t>
      </w:r>
      <w:r>
        <w:t>from my experien</w:t>
      </w:r>
      <w:r w:rsidR="00EA1CA6">
        <w:t xml:space="preserve">ce </w:t>
      </w:r>
      <w:r>
        <w:t xml:space="preserve">developing the DAPL and ETCO projects and others like it.  </w:t>
      </w:r>
      <w:r w:rsidR="00D73BFA">
        <w:t>Long-haul p</w:t>
      </w:r>
      <w:r w:rsidR="006F1455">
        <w:t>ipeline</w:t>
      </w:r>
      <w:r w:rsidR="00D73BFA">
        <w:t xml:space="preserve"> </w:t>
      </w:r>
      <w:r w:rsidR="00544E99">
        <w:t xml:space="preserve">projects </w:t>
      </w:r>
      <w:r w:rsidR="00D73BFA">
        <w:t>like</w:t>
      </w:r>
      <w:r w:rsidR="006F1455">
        <w:t xml:space="preserve"> those being developed by</w:t>
      </w:r>
      <w:r w:rsidR="00D73BFA">
        <w:t xml:space="preserve"> DAPL</w:t>
      </w:r>
      <w:r w:rsidR="00544E99">
        <w:t xml:space="preserve"> and ETCO</w:t>
      </w:r>
      <w:r w:rsidR="00D73BFA">
        <w:t xml:space="preserve"> are just a part of the infrastructure</w:t>
      </w:r>
      <w:r w:rsidR="00D15CEB">
        <w:t xml:space="preserve"> equation</w:t>
      </w:r>
      <w:r w:rsidR="00B945D6">
        <w:t xml:space="preserve"> in the Williston Basin</w:t>
      </w:r>
      <w:r w:rsidR="00D15CEB">
        <w:t>, of co</w:t>
      </w:r>
      <w:r w:rsidR="00EA1CA6">
        <w:t xml:space="preserve">urse, but the investment analysis </w:t>
      </w:r>
      <w:r w:rsidR="00B32A04">
        <w:t xml:space="preserve">is </w:t>
      </w:r>
      <w:r w:rsidR="00B32A04" w:rsidRPr="00B32A04">
        <w:t>similar</w:t>
      </w:r>
      <w:r w:rsidR="00EA1CA6" w:rsidRPr="00B32A04">
        <w:t xml:space="preserve"> for other types</w:t>
      </w:r>
      <w:r w:rsidR="00B32A04" w:rsidRPr="00B32A04">
        <w:t xml:space="preserve"> of</w:t>
      </w:r>
      <w:r w:rsidR="00EA1CA6" w:rsidRPr="00B32A04">
        <w:t xml:space="preserve"> large </w:t>
      </w:r>
      <w:r w:rsidR="004055EB">
        <w:lastRenderedPageBreak/>
        <w:t>infrastructure projects</w:t>
      </w:r>
      <w:r w:rsidR="00EA1CA6" w:rsidRPr="00B32A04">
        <w:t xml:space="preserve">.  </w:t>
      </w:r>
      <w:r w:rsidR="00EA1CA6">
        <w:t xml:space="preserve">In particular, </w:t>
      </w:r>
      <w:r w:rsidR="00AB3EBE">
        <w:t>Energy Transfer’</w:t>
      </w:r>
      <w:r w:rsidR="006F1455">
        <w:t>s experience</w:t>
      </w:r>
      <w:r w:rsidR="00AB3EBE">
        <w:t xml:space="preserve"> highlights </w:t>
      </w:r>
      <w:r w:rsidR="00B945D6">
        <w:t xml:space="preserve">two </w:t>
      </w:r>
      <w:r w:rsidR="00AB3EBE">
        <w:t xml:space="preserve">themes </w:t>
      </w:r>
      <w:r w:rsidR="00DA31EC">
        <w:t>about how government can</w:t>
      </w:r>
      <w:r w:rsidR="00AB3EBE">
        <w:t xml:space="preserve"> </w:t>
      </w:r>
      <w:r w:rsidR="00DA31EC">
        <w:t>encourage</w:t>
      </w:r>
      <w:r w:rsidR="00AB3EBE">
        <w:t xml:space="preserve"> infrastructure investment, whether </w:t>
      </w:r>
      <w:r w:rsidR="006F1455">
        <w:t xml:space="preserve">it </w:t>
      </w:r>
      <w:r w:rsidR="00AB3EBE">
        <w:t>is for a pipeline, a</w:t>
      </w:r>
      <w:r w:rsidR="006F1455">
        <w:t xml:space="preserve">n electric </w:t>
      </w:r>
      <w:r w:rsidR="00AB3EBE">
        <w:t xml:space="preserve">transmission line, a hotel, or any other </w:t>
      </w:r>
      <w:r w:rsidR="00B85EA9">
        <w:t>significant capital investment</w:t>
      </w:r>
      <w:r w:rsidR="00AB3EBE">
        <w:t xml:space="preserve">.  </w:t>
      </w:r>
    </w:p>
    <w:p w14:paraId="1492ECA1" w14:textId="754D6868" w:rsidR="00544E99" w:rsidRDefault="00E73DD9" w:rsidP="00B9516B">
      <w:pPr>
        <w:jc w:val="both"/>
      </w:pPr>
      <w:r>
        <w:t xml:space="preserve">First, governmental agencies can facilitate infrastructure </w:t>
      </w:r>
      <w:r w:rsidR="006F1455">
        <w:t>investment</w:t>
      </w:r>
      <w:r>
        <w:t xml:space="preserve"> by </w:t>
      </w:r>
      <w:r w:rsidR="006F1455">
        <w:t>building</w:t>
      </w:r>
      <w:r w:rsidR="0045504B">
        <w:t xml:space="preserve"> predictability </w:t>
      </w:r>
      <w:r w:rsidR="00DA31EC">
        <w:t>in</w:t>
      </w:r>
      <w:r w:rsidR="006F1455">
        <w:t>to</w:t>
      </w:r>
      <w:r w:rsidR="00B945D6">
        <w:t xml:space="preserve"> their approach to regulation</w:t>
      </w:r>
      <w:r>
        <w:t xml:space="preserve">.  </w:t>
      </w:r>
      <w:r w:rsidR="00B945D6">
        <w:t>For example,</w:t>
      </w:r>
      <w:r w:rsidR="00AB7E2C">
        <w:t xml:space="preserve"> t</w:t>
      </w:r>
      <w:r>
        <w:t>he Federal Energy Regulatory Commission’s</w:t>
      </w:r>
      <w:r w:rsidR="00DA31EC">
        <w:t xml:space="preserve"> (“FERC”)</w:t>
      </w:r>
      <w:r>
        <w:t xml:space="preserve"> ratemaking</w:t>
      </w:r>
      <w:r w:rsidR="00DA31EC">
        <w:t xml:space="preserve"> rules and</w:t>
      </w:r>
      <w:r>
        <w:t xml:space="preserve"> policies for new </w:t>
      </w:r>
      <w:r w:rsidR="00DA31EC">
        <w:t xml:space="preserve">crude oil pipeline </w:t>
      </w:r>
      <w:r>
        <w:t xml:space="preserve">infrastructure provided a critical foundation for securing </w:t>
      </w:r>
      <w:r w:rsidR="006F1455">
        <w:t>the DAPL and ETCO</w:t>
      </w:r>
      <w:r w:rsidR="00DA31EC">
        <w:t xml:space="preserve"> projects.  </w:t>
      </w:r>
      <w:r w:rsidR="0045504B">
        <w:t>The</w:t>
      </w:r>
      <w:r w:rsidR="006F1455">
        <w:t xml:space="preserve"> rules and policies articulate</w:t>
      </w:r>
      <w:r w:rsidR="0045504B">
        <w:t>d by the FERC define</w:t>
      </w:r>
      <w:r w:rsidR="006F1455">
        <w:t xml:space="preserve"> the parameters u</w:t>
      </w:r>
      <w:r w:rsidR="00B945D6">
        <w:t>nder which the necessary customer</w:t>
      </w:r>
      <w:r w:rsidR="006F1455">
        <w:t xml:space="preserve"> commitments can </w:t>
      </w:r>
      <w:r w:rsidR="0045504B">
        <w:t>be secured on a lon</w:t>
      </w:r>
      <w:r w:rsidR="00B945D6">
        <w:t>g-term basis.  Two elements</w:t>
      </w:r>
      <w:r w:rsidR="0053203A">
        <w:t xml:space="preserve"> of what the FERC has done are </w:t>
      </w:r>
      <w:r w:rsidR="00B945D6">
        <w:t>especially</w:t>
      </w:r>
      <w:r w:rsidR="0045504B">
        <w:t xml:space="preserve"> importa</w:t>
      </w:r>
      <w:r w:rsidR="0053203A">
        <w:t>nt.  The rules and policies are</w:t>
      </w:r>
      <w:r w:rsidR="0045504B">
        <w:t xml:space="preserve"> clearly communicated within agency precedent.  Thus, DAPL and ETCO could negotiate with</w:t>
      </w:r>
      <w:r w:rsidR="00B945D6">
        <w:t xml:space="preserve"> their</w:t>
      </w:r>
      <w:r w:rsidR="0045504B">
        <w:t xml:space="preserve"> </w:t>
      </w:r>
      <w:r w:rsidR="00B945D6">
        <w:t xml:space="preserve">prospective </w:t>
      </w:r>
      <w:r w:rsidR="0045504B">
        <w:t>customers on the basis of a set of principles that all parties understood and could reference.  Addition</w:t>
      </w:r>
      <w:r w:rsidR="00B945D6">
        <w:t>ally, FE</w:t>
      </w:r>
      <w:r w:rsidR="0053203A">
        <w:t>RC’s rules and policies provide</w:t>
      </w:r>
      <w:r w:rsidR="00B945D6">
        <w:t xml:space="preserve"> all</w:t>
      </w:r>
      <w:r w:rsidR="0045504B">
        <w:t xml:space="preserve"> parties with tools for identifying and allocating risk, as well as certainty that their agreements about those allocations w</w:t>
      </w:r>
      <w:r w:rsidR="004055EB">
        <w:t>ill</w:t>
      </w:r>
      <w:r w:rsidR="0045504B">
        <w:t xml:space="preserve"> be respected.</w:t>
      </w:r>
      <w:r w:rsidR="00B945D6">
        <w:t xml:space="preserve">  When Energy Transfer or any other infrastructure company </w:t>
      </w:r>
      <w:r w:rsidR="004055EB">
        <w:t>evaluates a</w:t>
      </w:r>
      <w:r w:rsidR="0053203A">
        <w:t xml:space="preserve"> large</w:t>
      </w:r>
      <w:r w:rsidR="00B945D6">
        <w:t>-scale capital investment, regulatory clarity and certainty are critical elements of the investment equation.</w:t>
      </w:r>
    </w:p>
    <w:p w14:paraId="18D55E45" w14:textId="064D8BD2" w:rsidR="00100D4A" w:rsidRDefault="00100D4A" w:rsidP="00B9516B">
      <w:pPr>
        <w:jc w:val="both"/>
      </w:pPr>
      <w:r>
        <w:t xml:space="preserve">Second, it is difficult to </w:t>
      </w:r>
      <w:r w:rsidR="004F0764">
        <w:t>overstate</w:t>
      </w:r>
      <w:r>
        <w:t xml:space="preserve"> the value of governmental agency </w:t>
      </w:r>
      <w:r w:rsidR="00D32355">
        <w:t xml:space="preserve">policies </w:t>
      </w:r>
      <w:r>
        <w:t xml:space="preserve">and procedures that </w:t>
      </w:r>
      <w:r w:rsidR="00D32355">
        <w:t xml:space="preserve">mediate between </w:t>
      </w:r>
      <w:r w:rsidR="0045504B">
        <w:t>local intere</w:t>
      </w:r>
      <w:r w:rsidR="00722ABA">
        <w:t xml:space="preserve">sts </w:t>
      </w:r>
      <w:r w:rsidR="00D32355">
        <w:t>and</w:t>
      </w:r>
      <w:r w:rsidR="00722ABA">
        <w:t xml:space="preserve"> the need</w:t>
      </w:r>
      <w:r>
        <w:t>s of the broader community while still accommodating pressing project development timelines</w:t>
      </w:r>
      <w:r w:rsidR="0045504B">
        <w:t>.</w:t>
      </w:r>
      <w:r w:rsidR="00AB7E2C">
        <w:t xml:space="preserve"> </w:t>
      </w:r>
      <w:r w:rsidR="00D32355">
        <w:t xml:space="preserve"> Both industry and government have important roles to play in fostering an environment that is supportive of new infrastructure development at the local level.  Each has a responsibility to the public to ensure that development occurs prudently and in a manner that balances various stakeholder interests.</w:t>
      </w:r>
      <w:r w:rsidR="00B945D6">
        <w:t xml:space="preserve">  </w:t>
      </w:r>
      <w:r w:rsidR="00D32355">
        <w:t xml:space="preserve">In this context, government and industry participants must both think creatively about how stakeholder participation can be encouraged in conjunction with, not at the expense of, timely decision making. </w:t>
      </w:r>
      <w:r>
        <w:t xml:space="preserve">  </w:t>
      </w:r>
      <w:r w:rsidR="004F0764">
        <w:t xml:space="preserve">The risk of material delay in permitting and other regulatory approvals can be difficult to overcome in investment decision making, given the impact to financial projections of a potential delay of revenues and the hesitation of customers to commit </w:t>
      </w:r>
      <w:r w:rsidR="00071425">
        <w:t xml:space="preserve">financially </w:t>
      </w:r>
      <w:r w:rsidR="004F0764">
        <w:t xml:space="preserve">to </w:t>
      </w:r>
      <w:r w:rsidR="00071425">
        <w:t xml:space="preserve">new infrastructure </w:t>
      </w:r>
      <w:r w:rsidR="004F0764">
        <w:t xml:space="preserve">projects without certainty </w:t>
      </w:r>
      <w:r w:rsidR="001B416B">
        <w:t>around</w:t>
      </w:r>
      <w:r w:rsidR="004F0764">
        <w:t xml:space="preserve"> project timing. </w:t>
      </w:r>
    </w:p>
    <w:p w14:paraId="719F6335" w14:textId="68942EA3" w:rsidR="00071425" w:rsidRDefault="00C65900" w:rsidP="00F40039">
      <w:pPr>
        <w:jc w:val="both"/>
      </w:pPr>
      <w:r>
        <w:t>W</w:t>
      </w:r>
      <w:r w:rsidR="001B416B">
        <w:t>hile these are just</w:t>
      </w:r>
      <w:r w:rsidR="004F0764">
        <w:t xml:space="preserve"> two of many issues that influence the investment decisions of companies like Energy Transfer, they are key areas where governmental </w:t>
      </w:r>
      <w:r w:rsidR="000E37DF">
        <w:t>policy</w:t>
      </w:r>
      <w:r w:rsidR="004F0764">
        <w:t xml:space="preserve"> can help to influence the process </w:t>
      </w:r>
      <w:r w:rsidR="000E37DF">
        <w:t xml:space="preserve">of infrastructure development </w:t>
      </w:r>
      <w:r w:rsidR="004F0764">
        <w:t>positively going forward.</w:t>
      </w:r>
      <w:r w:rsidR="00327EBD">
        <w:t xml:space="preserve"> </w:t>
      </w:r>
      <w:r w:rsidR="00F40039">
        <w:t xml:space="preserve">  </w:t>
      </w:r>
    </w:p>
    <w:p w14:paraId="1DFD7353" w14:textId="2DDCE2EB" w:rsidR="00F40039" w:rsidRDefault="000D56FF" w:rsidP="00F40039">
      <w:pPr>
        <w:jc w:val="both"/>
      </w:pPr>
      <w:r>
        <w:t>Thank you again for the opportunity to provi</w:t>
      </w:r>
      <w:r w:rsidR="00F40039">
        <w:t xml:space="preserve">de these comments today. </w:t>
      </w:r>
      <w:r w:rsidR="000E37DF">
        <w:t>All of us are still at the beginning of the story in the Williston Basin, and t</w:t>
      </w:r>
      <w:r w:rsidR="00F40039">
        <w:t xml:space="preserve">hese </w:t>
      </w:r>
      <w:r>
        <w:t>are critical issues for our nation</w:t>
      </w:r>
      <w:r w:rsidR="000E37DF">
        <w:t>.  W</w:t>
      </w:r>
      <w:r>
        <w:t xml:space="preserve">e </w:t>
      </w:r>
      <w:r w:rsidR="000E37DF">
        <w:t xml:space="preserve">will </w:t>
      </w:r>
      <w:r>
        <w:t>look forwar</w:t>
      </w:r>
      <w:r w:rsidR="00E44479">
        <w:t xml:space="preserve">d to </w:t>
      </w:r>
      <w:r>
        <w:t>the progress that comes from this dialogue.</w:t>
      </w:r>
      <w:r w:rsidR="000E37DF">
        <w:t xml:space="preserve"> </w:t>
      </w:r>
    </w:p>
    <w:p w14:paraId="17BBA7F5" w14:textId="55E3C4B0" w:rsidR="000D56FF" w:rsidRDefault="000D56FF" w:rsidP="00B9516B">
      <w:pPr>
        <w:jc w:val="both"/>
      </w:pPr>
    </w:p>
    <w:p w14:paraId="1492ECB4" w14:textId="6D5D79AD" w:rsidR="00A827EC" w:rsidRDefault="0031581F" w:rsidP="00B9516B">
      <w:pPr>
        <w:jc w:val="both"/>
      </w:pPr>
      <w:r>
        <w:t xml:space="preserve">  </w:t>
      </w:r>
      <w:r w:rsidR="00B9516B">
        <w:t xml:space="preserve"> </w:t>
      </w:r>
    </w:p>
    <w:sectPr w:rsidR="00A827EC" w:rsidSect="00981AA6">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5F1802" w14:textId="77777777" w:rsidR="00B61B90" w:rsidRDefault="00B61B90" w:rsidP="00192DBE">
      <w:pPr>
        <w:spacing w:after="0" w:line="240" w:lineRule="auto"/>
      </w:pPr>
      <w:r>
        <w:separator/>
      </w:r>
    </w:p>
  </w:endnote>
  <w:endnote w:type="continuationSeparator" w:id="0">
    <w:p w14:paraId="2C775155" w14:textId="77777777" w:rsidR="00B61B90" w:rsidRDefault="00B61B90" w:rsidP="0019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8285876"/>
      <w:docPartObj>
        <w:docPartGallery w:val="Page Numbers (Bottom of Page)"/>
        <w:docPartUnique/>
      </w:docPartObj>
    </w:sdtPr>
    <w:sdtEndPr>
      <w:rPr>
        <w:noProof/>
      </w:rPr>
    </w:sdtEndPr>
    <w:sdtContent>
      <w:p w14:paraId="68E9DCD2" w14:textId="3A6F7D81" w:rsidR="00981AA6" w:rsidRDefault="00981AA6">
        <w:pPr>
          <w:pStyle w:val="Footer"/>
          <w:jc w:val="center"/>
        </w:pPr>
        <w:r>
          <w:fldChar w:fldCharType="begin"/>
        </w:r>
        <w:r>
          <w:instrText xml:space="preserve"> PAGE   \* MERGEFORMAT </w:instrText>
        </w:r>
        <w:r>
          <w:fldChar w:fldCharType="separate"/>
        </w:r>
        <w:r w:rsidR="00C52CE4">
          <w:rPr>
            <w:noProof/>
          </w:rPr>
          <w:t>3</w:t>
        </w:r>
        <w:r>
          <w:rPr>
            <w:noProof/>
          </w:rPr>
          <w:fldChar w:fldCharType="end"/>
        </w:r>
      </w:p>
    </w:sdtContent>
  </w:sdt>
  <w:p w14:paraId="5CB97949" w14:textId="77777777" w:rsidR="00981AA6" w:rsidRDefault="00981AA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16923B" w14:textId="77777777" w:rsidR="00B61B90" w:rsidRDefault="00B61B90" w:rsidP="00192DBE">
      <w:pPr>
        <w:spacing w:after="0" w:line="240" w:lineRule="auto"/>
      </w:pPr>
      <w:r>
        <w:separator/>
      </w:r>
    </w:p>
  </w:footnote>
  <w:footnote w:type="continuationSeparator" w:id="0">
    <w:p w14:paraId="2A17A5BC" w14:textId="77777777" w:rsidR="00B61B90" w:rsidRDefault="00B61B90" w:rsidP="00192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E61D78"/>
    <w:multiLevelType w:val="hybridMultilevel"/>
    <w:tmpl w:val="18BC297A"/>
    <w:lvl w:ilvl="0" w:tplc="E4B6D25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6B"/>
    <w:rsid w:val="00046CB4"/>
    <w:rsid w:val="00071425"/>
    <w:rsid w:val="000A091E"/>
    <w:rsid w:val="000B5E99"/>
    <w:rsid w:val="000D56FF"/>
    <w:rsid w:val="000E37DF"/>
    <w:rsid w:val="00100D4A"/>
    <w:rsid w:val="00106334"/>
    <w:rsid w:val="00112055"/>
    <w:rsid w:val="00130F27"/>
    <w:rsid w:val="00147DA7"/>
    <w:rsid w:val="00155FC5"/>
    <w:rsid w:val="00192DBE"/>
    <w:rsid w:val="001A2CF5"/>
    <w:rsid w:val="001B2219"/>
    <w:rsid w:val="001B3DDB"/>
    <w:rsid w:val="001B416B"/>
    <w:rsid w:val="001C2E46"/>
    <w:rsid w:val="00211337"/>
    <w:rsid w:val="0027354B"/>
    <w:rsid w:val="00284708"/>
    <w:rsid w:val="002A40BB"/>
    <w:rsid w:val="002B7012"/>
    <w:rsid w:val="00307D16"/>
    <w:rsid w:val="0031581F"/>
    <w:rsid w:val="00320FA6"/>
    <w:rsid w:val="003221F0"/>
    <w:rsid w:val="003270B6"/>
    <w:rsid w:val="00327EBD"/>
    <w:rsid w:val="00331C82"/>
    <w:rsid w:val="00333A3F"/>
    <w:rsid w:val="0035284E"/>
    <w:rsid w:val="003752A9"/>
    <w:rsid w:val="003B5CE6"/>
    <w:rsid w:val="003B68F1"/>
    <w:rsid w:val="003C6B3B"/>
    <w:rsid w:val="003C7CCA"/>
    <w:rsid w:val="003F65F8"/>
    <w:rsid w:val="004055EB"/>
    <w:rsid w:val="00405C86"/>
    <w:rsid w:val="0042215F"/>
    <w:rsid w:val="00422EEE"/>
    <w:rsid w:val="00442F49"/>
    <w:rsid w:val="0045504B"/>
    <w:rsid w:val="00475624"/>
    <w:rsid w:val="0047617E"/>
    <w:rsid w:val="00484B3B"/>
    <w:rsid w:val="00485FD1"/>
    <w:rsid w:val="004C6236"/>
    <w:rsid w:val="004F0764"/>
    <w:rsid w:val="00503AA1"/>
    <w:rsid w:val="005242DB"/>
    <w:rsid w:val="0053203A"/>
    <w:rsid w:val="00544DAB"/>
    <w:rsid w:val="00544E99"/>
    <w:rsid w:val="00562128"/>
    <w:rsid w:val="005872B7"/>
    <w:rsid w:val="00590074"/>
    <w:rsid w:val="005B520A"/>
    <w:rsid w:val="005C4A4F"/>
    <w:rsid w:val="005D71ED"/>
    <w:rsid w:val="005E2E1F"/>
    <w:rsid w:val="00634207"/>
    <w:rsid w:val="00651052"/>
    <w:rsid w:val="00664A68"/>
    <w:rsid w:val="0066510F"/>
    <w:rsid w:val="00686DD9"/>
    <w:rsid w:val="0069295C"/>
    <w:rsid w:val="00694B88"/>
    <w:rsid w:val="006A110D"/>
    <w:rsid w:val="006A21D3"/>
    <w:rsid w:val="006A37F7"/>
    <w:rsid w:val="006B380D"/>
    <w:rsid w:val="006B7DC4"/>
    <w:rsid w:val="006E3F0A"/>
    <w:rsid w:val="006F1455"/>
    <w:rsid w:val="00722ABA"/>
    <w:rsid w:val="00723936"/>
    <w:rsid w:val="00733892"/>
    <w:rsid w:val="007340CC"/>
    <w:rsid w:val="00746F9D"/>
    <w:rsid w:val="0076258F"/>
    <w:rsid w:val="007766DB"/>
    <w:rsid w:val="0080411C"/>
    <w:rsid w:val="00811672"/>
    <w:rsid w:val="00824B32"/>
    <w:rsid w:val="008326C6"/>
    <w:rsid w:val="00890087"/>
    <w:rsid w:val="008B4FF6"/>
    <w:rsid w:val="008F0EFB"/>
    <w:rsid w:val="00910780"/>
    <w:rsid w:val="00911736"/>
    <w:rsid w:val="00937951"/>
    <w:rsid w:val="00945168"/>
    <w:rsid w:val="0096151D"/>
    <w:rsid w:val="00971007"/>
    <w:rsid w:val="00981AA6"/>
    <w:rsid w:val="0099722D"/>
    <w:rsid w:val="009A645B"/>
    <w:rsid w:val="009D01CC"/>
    <w:rsid w:val="009E56BA"/>
    <w:rsid w:val="00A60D6D"/>
    <w:rsid w:val="00A670F3"/>
    <w:rsid w:val="00A827EC"/>
    <w:rsid w:val="00A84795"/>
    <w:rsid w:val="00A905ED"/>
    <w:rsid w:val="00A9121A"/>
    <w:rsid w:val="00AA1611"/>
    <w:rsid w:val="00AA3022"/>
    <w:rsid w:val="00AA5F1C"/>
    <w:rsid w:val="00AB275D"/>
    <w:rsid w:val="00AB3EBE"/>
    <w:rsid w:val="00AB7E2C"/>
    <w:rsid w:val="00B3239A"/>
    <w:rsid w:val="00B32A04"/>
    <w:rsid w:val="00B54286"/>
    <w:rsid w:val="00B61B90"/>
    <w:rsid w:val="00B660A7"/>
    <w:rsid w:val="00B85EA9"/>
    <w:rsid w:val="00B945D6"/>
    <w:rsid w:val="00B9516B"/>
    <w:rsid w:val="00BA63FF"/>
    <w:rsid w:val="00BC310B"/>
    <w:rsid w:val="00BF4C29"/>
    <w:rsid w:val="00C1160B"/>
    <w:rsid w:val="00C33849"/>
    <w:rsid w:val="00C4234E"/>
    <w:rsid w:val="00C52CE4"/>
    <w:rsid w:val="00C65900"/>
    <w:rsid w:val="00C81BE5"/>
    <w:rsid w:val="00C96D76"/>
    <w:rsid w:val="00CA0328"/>
    <w:rsid w:val="00CB6092"/>
    <w:rsid w:val="00CF6031"/>
    <w:rsid w:val="00CF7CB2"/>
    <w:rsid w:val="00D15CEB"/>
    <w:rsid w:val="00D253EB"/>
    <w:rsid w:val="00D263CE"/>
    <w:rsid w:val="00D32355"/>
    <w:rsid w:val="00D53552"/>
    <w:rsid w:val="00D7321F"/>
    <w:rsid w:val="00D73BFA"/>
    <w:rsid w:val="00D81C06"/>
    <w:rsid w:val="00D95865"/>
    <w:rsid w:val="00DA31EC"/>
    <w:rsid w:val="00DC3997"/>
    <w:rsid w:val="00DD266B"/>
    <w:rsid w:val="00DE3C27"/>
    <w:rsid w:val="00E044FB"/>
    <w:rsid w:val="00E44479"/>
    <w:rsid w:val="00E73DD9"/>
    <w:rsid w:val="00E8355D"/>
    <w:rsid w:val="00E87321"/>
    <w:rsid w:val="00EA1CA6"/>
    <w:rsid w:val="00EC00D5"/>
    <w:rsid w:val="00ED22B6"/>
    <w:rsid w:val="00F20E1E"/>
    <w:rsid w:val="00F40039"/>
    <w:rsid w:val="00F50152"/>
    <w:rsid w:val="00F5680B"/>
    <w:rsid w:val="00F76A26"/>
    <w:rsid w:val="00F774E7"/>
    <w:rsid w:val="00FA0CE1"/>
    <w:rsid w:val="00FB17C6"/>
    <w:rsid w:val="00FC2185"/>
    <w:rsid w:val="00FC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92E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2D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2DBE"/>
  </w:style>
  <w:style w:type="paragraph" w:styleId="Footer">
    <w:name w:val="footer"/>
    <w:basedOn w:val="Normal"/>
    <w:link w:val="FooterChar"/>
    <w:uiPriority w:val="99"/>
    <w:unhideWhenUsed/>
    <w:rsid w:val="00192D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2DBE"/>
  </w:style>
  <w:style w:type="character" w:styleId="Strong">
    <w:name w:val="Strong"/>
    <w:basedOn w:val="DefaultParagraphFont"/>
    <w:uiPriority w:val="22"/>
    <w:qFormat/>
    <w:rsid w:val="00CF6031"/>
    <w:rPr>
      <w:b/>
      <w:bCs/>
    </w:rPr>
  </w:style>
  <w:style w:type="paragraph" w:customStyle="1" w:styleId="Default">
    <w:name w:val="Default"/>
    <w:rsid w:val="00CF6031"/>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46F9D"/>
    <w:pPr>
      <w:ind w:left="720"/>
      <w:contextualSpacing/>
    </w:pPr>
  </w:style>
  <w:style w:type="paragraph" w:styleId="BalloonText">
    <w:name w:val="Balloon Text"/>
    <w:basedOn w:val="Normal"/>
    <w:link w:val="BalloonTextChar"/>
    <w:uiPriority w:val="99"/>
    <w:semiHidden/>
    <w:unhideWhenUsed/>
    <w:rsid w:val="001C2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1697</Words>
  <Characters>9674</Characters>
  <Application>Microsoft Office Word</Application>
  <DocSecurity>0</DocSecurity>
  <PresentationFormat/>
  <Lines>80</Lines>
  <Paragraphs>22</Paragraphs>
  <Slides>0</Slides>
  <Notes>0</Notes>
  <HiddenSlides>0</HiddenSlides>
  <MMClips>0</MMClips>
  <ScaleCrop>false</ScaleCrop>
  <Manager/>
  <Company/>
  <LinksUpToDate>false</LinksUpToDate>
  <CharactersWithSpaces>11349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2014-08-06T21:03:00Z</dcterms:created>
  <dcterms:modified xsi:type="dcterms:W3CDTF">2014-08-07T03:36:00Z</dcterms:modified>
  <cp:category/>
  <cp:contentStatus/>
  <dc:language/>
  <cp:version/>
</cp:coreProperties>
</file>